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tabs>
          <w:tab w:val="left" w:pos="5400" w:leader="none"/>
        </w:tabs>
        <w:spacing w:before="0" w:after="0"/>
        <w:ind w:right="42" w:hanging="0"/>
        <w:jc w:val="center"/>
        <w:rPr>
          <w:sz w:val="22"/>
          <w:szCs w:val="22"/>
        </w:rPr>
      </w:pPr>
      <w:r>
        <w:rPr>
          <w:sz w:val="22"/>
          <w:szCs w:val="22"/>
        </w:rPr>
        <w:tab/>
        <w:t xml:space="preserve">Lietuvos policijos mokyklos jaunimo </w:t>
      </w:r>
    </w:p>
    <w:p>
      <w:pPr>
        <w:pStyle w:val="TextBody"/>
        <w:tabs>
          <w:tab w:val="left" w:pos="5400" w:leader="none"/>
        </w:tabs>
        <w:spacing w:before="0" w:after="0"/>
        <w:ind w:right="42" w:hanging="0"/>
        <w:jc w:val="center"/>
        <w:rPr>
          <w:sz w:val="22"/>
          <w:szCs w:val="22"/>
        </w:rPr>
      </w:pPr>
      <w:r>
        <w:rPr>
          <w:sz w:val="22"/>
          <w:szCs w:val="22"/>
        </w:rPr>
        <w:tab/>
        <w:t xml:space="preserve">   stovyklos „Kursantas savaitei“ nuostatų </w:t>
      </w:r>
    </w:p>
    <w:p>
      <w:pPr>
        <w:pStyle w:val="TextBody"/>
        <w:tabs>
          <w:tab w:val="left" w:pos="5400" w:leader="none"/>
        </w:tabs>
        <w:spacing w:before="0" w:after="0"/>
        <w:ind w:right="42" w:hanging="0"/>
        <w:jc w:val="center"/>
        <w:rPr>
          <w:sz w:val="22"/>
          <w:szCs w:val="22"/>
        </w:rPr>
      </w:pPr>
      <w:r>
        <w:rPr>
          <w:sz w:val="22"/>
          <w:szCs w:val="22"/>
        </w:rPr>
        <w:t xml:space="preserve">                                                 </w:t>
      </w:r>
      <w:r>
        <w:rPr>
          <w:sz w:val="22"/>
          <w:szCs w:val="22"/>
        </w:rPr>
        <w:t>priedas</w:t>
      </w:r>
    </w:p>
    <w:p>
      <w:pPr>
        <w:pStyle w:val="TextBody"/>
        <w:tabs>
          <w:tab w:val="left" w:pos="5400" w:leader="none"/>
        </w:tabs>
        <w:spacing w:before="0" w:after="0"/>
        <w:ind w:right="42" w:hanging="0"/>
        <w:jc w:val="center"/>
        <w:rPr>
          <w:sz w:val="22"/>
          <w:szCs w:val="22"/>
        </w:rPr>
      </w:pPr>
      <w:r>
        <w:rPr>
          <w:sz w:val="22"/>
          <w:szCs w:val="22"/>
        </w:rPr>
      </w:r>
    </w:p>
    <w:p>
      <w:pPr>
        <w:pStyle w:val="Normal"/>
        <w:spacing w:before="0" w:after="0"/>
        <w:ind w:right="42" w:hanging="0"/>
        <w:jc w:val="center"/>
        <w:rPr>
          <w:rFonts w:ascii="Times New Roman" w:hAnsi="Times New Roman" w:cs="Times New Roman"/>
          <w:b/>
          <w:b/>
          <w:sz w:val="24"/>
          <w:szCs w:val="24"/>
        </w:rPr>
      </w:pPr>
      <w:r>
        <w:rPr>
          <w:rFonts w:cs="Times New Roman" w:ascii="Times New Roman" w:hAnsi="Times New Roman"/>
          <w:b/>
          <w:sz w:val="24"/>
          <w:szCs w:val="24"/>
        </w:rPr>
        <w:t>LIETUVOS POLICIJOS MOKYKLOS</w:t>
      </w:r>
    </w:p>
    <w:p>
      <w:pPr>
        <w:pStyle w:val="Normal"/>
        <w:spacing w:before="0" w:after="0"/>
        <w:ind w:left="42" w:right="42" w:hanging="0"/>
        <w:jc w:val="center"/>
        <w:rPr>
          <w:rFonts w:ascii="Times New Roman" w:hAnsi="Times New Roman" w:cs="Times New Roman"/>
          <w:b/>
          <w:b/>
          <w:sz w:val="24"/>
          <w:szCs w:val="24"/>
        </w:rPr>
      </w:pPr>
      <w:r>
        <w:rPr>
          <w:rFonts w:cs="Times New Roman" w:ascii="Times New Roman" w:hAnsi="Times New Roman"/>
          <w:b/>
          <w:sz w:val="24"/>
          <w:szCs w:val="24"/>
        </w:rPr>
        <w:t>JAUNIMO STOVYKLOS „KURSANTAS SAVAITEI”</w:t>
      </w:r>
    </w:p>
    <w:p>
      <w:pPr>
        <w:pStyle w:val="Subtitle"/>
        <w:ind w:left="42" w:right="42" w:hanging="0"/>
        <w:rPr/>
      </w:pPr>
      <w:r>
        <w:rPr/>
        <w:t xml:space="preserve">SUTARTIS  </w:t>
      </w:r>
    </w:p>
    <w:p>
      <w:pPr>
        <w:pStyle w:val="Normal"/>
        <w:spacing w:before="0" w:after="0"/>
        <w:ind w:left="42" w:right="42" w:hanging="0"/>
        <w:jc w:val="center"/>
        <w:rPr>
          <w:rFonts w:ascii="Times New Roman" w:hAnsi="Times New Roman" w:cs="Times New Roman"/>
          <w:sz w:val="20"/>
        </w:rPr>
      </w:pPr>
      <w:r>
        <w:rPr>
          <w:rFonts w:cs="Times New Roman" w:ascii="Times New Roman" w:hAnsi="Times New Roman"/>
          <w:sz w:val="20"/>
        </w:rPr>
      </w:r>
    </w:p>
    <w:p>
      <w:pPr>
        <w:pStyle w:val="Normal"/>
        <w:spacing w:before="0" w:after="0"/>
        <w:ind w:left="42" w:right="42" w:hanging="0"/>
        <w:jc w:val="center"/>
        <w:rPr>
          <w:rFonts w:ascii="Times New Roman" w:hAnsi="Times New Roman" w:cs="Times New Roman"/>
          <w:sz w:val="20"/>
        </w:rPr>
      </w:pPr>
      <w:r>
        <w:rPr>
          <w:rFonts w:cs="Times New Roman" w:ascii="Times New Roman" w:hAnsi="Times New Roman"/>
          <w:sz w:val="20"/>
        </w:rPr>
        <w:t xml:space="preserve">20    m. ____________ mėn. ______ d. </w:t>
      </w:r>
    </w:p>
    <w:p>
      <w:pPr>
        <w:pStyle w:val="Normal"/>
        <w:spacing w:before="0" w:after="0"/>
        <w:ind w:left="42" w:right="42" w:hanging="0"/>
        <w:jc w:val="center"/>
        <w:rPr>
          <w:rFonts w:ascii="Times New Roman" w:hAnsi="Times New Roman" w:cs="Times New Roman"/>
          <w:sz w:val="20"/>
        </w:rPr>
      </w:pPr>
      <w:r>
        <w:rPr>
          <w:rFonts w:cs="Times New Roman" w:ascii="Times New Roman" w:hAnsi="Times New Roman"/>
          <w:sz w:val="20"/>
        </w:rPr>
      </w:r>
    </w:p>
    <w:p>
      <w:pPr>
        <w:pStyle w:val="Normal"/>
        <w:spacing w:before="0" w:after="0"/>
        <w:ind w:left="42" w:right="-540" w:hanging="0"/>
        <w:jc w:val="both"/>
        <w:rPr/>
      </w:pPr>
      <w:r>
        <w:rPr>
          <w:rFonts w:cs="Times New Roman" w:ascii="Times New Roman" w:hAnsi="Times New Roman"/>
          <w:sz w:val="20"/>
        </w:rPr>
        <w:t xml:space="preserve">Lietuvos policijos mokykla (toliau – stovyklos organizatorius) , tel. </w:t>
      </w:r>
      <w:r>
        <w:rPr>
          <w:rFonts w:cs="Times New Roman" w:ascii="Times New Roman" w:hAnsi="Times New Roman"/>
          <w:sz w:val="20"/>
          <w:lang w:val="en-US"/>
        </w:rPr>
        <w:t xml:space="preserve">8 700 60075 el. </w:t>
      </w:r>
      <w:r>
        <w:rPr>
          <w:rFonts w:cs="Times New Roman" w:ascii="Times New Roman" w:hAnsi="Times New Roman"/>
          <w:sz w:val="20"/>
        </w:rPr>
        <w:t>p</w:t>
      </w:r>
      <w:r>
        <w:rPr>
          <w:rFonts w:cs="Times New Roman" w:ascii="Times New Roman" w:hAnsi="Times New Roman"/>
          <w:sz w:val="20"/>
          <w:lang w:val="en-US"/>
        </w:rPr>
        <w:t>a</w:t>
      </w:r>
      <w:r>
        <w:rPr>
          <w:rFonts w:cs="Times New Roman" w:ascii="Times New Roman" w:hAnsi="Times New Roman"/>
          <w:sz w:val="20"/>
        </w:rPr>
        <w:t xml:space="preserve">štas </w:t>
      </w:r>
      <w:hyperlink r:id="rId2">
        <w:r>
          <w:rPr>
            <w:rStyle w:val="InternetLink"/>
            <w:rFonts w:cs="Times New Roman" w:ascii="Times New Roman" w:hAnsi="Times New Roman"/>
            <w:sz w:val="20"/>
          </w:rPr>
          <w:t>mokykla</w:t>
        </w:r>
        <w:r>
          <w:rPr>
            <w:rStyle w:val="InternetLink"/>
            <w:rFonts w:cs="Times New Roman" w:ascii="Times New Roman" w:hAnsi="Times New Roman"/>
            <w:sz w:val="20"/>
            <w:lang w:val="en-US"/>
          </w:rPr>
          <w:t>@policija</w:t>
        </w:r>
        <w:r>
          <w:rPr>
            <w:rStyle w:val="InternetLink"/>
            <w:rFonts w:cs="Times New Roman" w:ascii="Times New Roman" w:hAnsi="Times New Roman"/>
            <w:sz w:val="20"/>
          </w:rPr>
          <w:t>.lt</w:t>
        </w:r>
      </w:hyperlink>
      <w:r>
        <w:rPr>
          <w:rFonts w:cs="Times New Roman" w:ascii="Times New Roman" w:hAnsi="Times New Roman"/>
          <w:sz w:val="20"/>
        </w:rPr>
        <w:t>, atstovaujama</w:t>
      </w:r>
    </w:p>
    <w:tbl>
      <w:tblPr>
        <w:tblW w:w="9984" w:type="dxa"/>
        <w:jc w:val="left"/>
        <w:tblInd w:w="32" w:type="dxa"/>
        <w:tblBorders>
          <w:left w:val="single" w:sz="4" w:space="0" w:color="FFFFFF"/>
          <w:bottom w:val="single" w:sz="4" w:space="0" w:color="000001"/>
          <w:insideH w:val="single" w:sz="4" w:space="0" w:color="000001"/>
        </w:tblBorders>
        <w:tblCellMar>
          <w:top w:w="0" w:type="dxa"/>
          <w:left w:w="-5" w:type="dxa"/>
          <w:bottom w:w="0" w:type="dxa"/>
          <w:right w:w="0" w:type="dxa"/>
        </w:tblCellMar>
        <w:tblLook w:firstRow="0" w:noVBand="0" w:lastRow="0" w:firstColumn="0" w:lastColumn="0" w:noHBand="0" w:val="0000"/>
      </w:tblPr>
      <w:tblGrid>
        <w:gridCol w:w="9903"/>
        <w:gridCol w:w="40"/>
        <w:gridCol w:w="41"/>
      </w:tblGrid>
      <w:tr>
        <w:trPr/>
        <w:tc>
          <w:tcPr>
            <w:tcW w:w="9903" w:type="dxa"/>
            <w:tcBorders>
              <w:left w:val="single" w:sz="4" w:space="0" w:color="FFFFFF"/>
              <w:bottom w:val="single" w:sz="4" w:space="0" w:color="000001"/>
              <w:insideH w:val="single" w:sz="4" w:space="0" w:color="000001"/>
            </w:tcBorders>
            <w:shd w:color="auto" w:fill="auto" w:val="clear"/>
            <w:tcMar>
              <w:left w:w="-5" w:type="dxa"/>
            </w:tcMar>
          </w:tcPr>
          <w:p>
            <w:pPr>
              <w:pStyle w:val="Normal"/>
              <w:snapToGrid w:val="false"/>
              <w:spacing w:before="0" w:after="0"/>
              <w:ind w:left="42" w:right="42" w:hanging="0"/>
              <w:rPr>
                <w:rFonts w:ascii="Times New Roman" w:hAnsi="Times New Roman" w:cs="Times New Roman"/>
              </w:rPr>
            </w:pPr>
            <w:r>
              <w:rPr>
                <w:rFonts w:cs="Times New Roman" w:ascii="Times New Roman" w:hAnsi="Times New Roman"/>
              </w:rPr>
            </w:r>
          </w:p>
        </w:tc>
        <w:tc>
          <w:tcPr>
            <w:tcW w:w="40" w:type="dxa"/>
            <w:tcBorders>
              <w:bottom w:val="single" w:sz="4" w:space="0" w:color="000001"/>
              <w:insideH w:val="single" w:sz="4" w:space="0" w:color="000001"/>
            </w:tcBorders>
            <w:shd w:color="auto" w:fill="auto" w:val="clear"/>
            <w:tcMar>
              <w:left w:w="5" w:type="dxa"/>
            </w:tcMar>
          </w:tcPr>
          <w:p>
            <w:pPr>
              <w:pStyle w:val="Normal"/>
              <w:snapToGrid w:val="false"/>
              <w:spacing w:before="0" w:after="0"/>
              <w:rPr>
                <w:rFonts w:ascii="Times New Roman" w:hAnsi="Times New Roman" w:cs="Times New Roman"/>
              </w:rPr>
            </w:pPr>
            <w:r>
              <w:rPr>
                <w:rFonts w:cs="Times New Roman" w:ascii="Times New Roman" w:hAnsi="Times New Roman"/>
              </w:rPr>
            </w:r>
          </w:p>
        </w:tc>
        <w:tc>
          <w:tcPr>
            <w:tcW w:w="41" w:type="dxa"/>
            <w:tcBorders>
              <w:bottom w:val="single" w:sz="4" w:space="0" w:color="000001"/>
              <w:insideH w:val="single" w:sz="4" w:space="0" w:color="000001"/>
            </w:tcBorders>
            <w:shd w:color="auto" w:fill="auto" w:val="clear"/>
            <w:tcMar>
              <w:left w:w="5" w:type="dxa"/>
            </w:tcMar>
          </w:tcPr>
          <w:p>
            <w:pPr>
              <w:pStyle w:val="Normal"/>
              <w:snapToGrid w:val="false"/>
              <w:spacing w:before="0" w:after="0"/>
              <w:rPr>
                <w:rFonts w:ascii="Times New Roman" w:hAnsi="Times New Roman" w:cs="Times New Roman"/>
              </w:rPr>
            </w:pPr>
            <w:r>
              <w:rPr>
                <w:rFonts w:cs="Times New Roman" w:ascii="Times New Roman" w:hAnsi="Times New Roman"/>
              </w:rPr>
            </w:r>
          </w:p>
        </w:tc>
      </w:tr>
      <w:tr>
        <w:trPr/>
        <w:tc>
          <w:tcPr>
            <w:tcW w:w="9984" w:type="dxa"/>
            <w:gridSpan w:val="3"/>
            <w:tcBorders>
              <w:top w:val="single" w:sz="4" w:space="0" w:color="000001"/>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5" w:type="dxa"/>
            </w:tcMar>
          </w:tcPr>
          <w:p>
            <w:pPr>
              <w:pStyle w:val="Normal"/>
              <w:snapToGrid w:val="false"/>
              <w:spacing w:before="0" w:after="0"/>
              <w:ind w:left="42" w:right="42" w:hanging="0"/>
              <w:jc w:val="center"/>
              <w:rPr>
                <w:rFonts w:ascii="Times New Roman" w:hAnsi="Times New Roman" w:cs="Times New Roman"/>
              </w:rPr>
            </w:pPr>
            <w:r>
              <w:rPr>
                <w:rFonts w:cs="Times New Roman" w:ascii="Times New Roman" w:hAnsi="Times New Roman"/>
                <w:sz w:val="16"/>
              </w:rPr>
              <w:t>(įgalioto asmens pareigos, vardas ir pavardė)</w:t>
            </w:r>
          </w:p>
        </w:tc>
      </w:tr>
    </w:tbl>
    <w:p>
      <w:pPr>
        <w:pStyle w:val="Normal"/>
        <w:spacing w:before="0" w:after="0"/>
        <w:ind w:left="42" w:right="42" w:hanging="0"/>
        <w:rPr>
          <w:rFonts w:ascii="Times New Roman" w:hAnsi="Times New Roman" w:cs="Times New Roman"/>
        </w:rPr>
      </w:pPr>
      <w:r>
        <w:rPr>
          <w:rFonts w:cs="Times New Roman" w:ascii="Times New Roman" w:hAnsi="Times New Roman"/>
        </w:rPr>
      </w:r>
    </w:p>
    <w:tbl>
      <w:tblPr>
        <w:tblW w:w="10064" w:type="dxa"/>
        <w:jc w:val="left"/>
        <w:tblInd w:w="4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98" w:type="dxa"/>
          <w:bottom w:w="0" w:type="dxa"/>
          <w:right w:w="108" w:type="dxa"/>
        </w:tblCellMar>
        <w:tblLook w:firstRow="0" w:noVBand="0" w:lastRow="0" w:firstColumn="0" w:lastColumn="0" w:noHBand="0" w:val="0000"/>
      </w:tblPr>
      <w:tblGrid>
        <w:gridCol w:w="10064"/>
      </w:tblGrid>
      <w:tr>
        <w:trPr/>
        <w:tc>
          <w:tcPr>
            <w:tcW w:w="10064"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98" w:type="dxa"/>
            </w:tcMar>
          </w:tcPr>
          <w:p>
            <w:pPr>
              <w:pStyle w:val="Normal"/>
              <w:tabs>
                <w:tab w:val="right" w:pos="9000" w:leader="underscore"/>
              </w:tabs>
              <w:snapToGrid w:val="false"/>
              <w:spacing w:before="0" w:after="0"/>
              <w:ind w:left="-77" w:right="115" w:hanging="0"/>
              <w:jc w:val="both"/>
              <w:rPr>
                <w:rFonts w:ascii="Times New Roman" w:hAnsi="Times New Roman" w:cs="Times New Roman"/>
              </w:rPr>
            </w:pPr>
            <w:r>
              <w:rPr>
                <w:rFonts w:cs="Times New Roman" w:ascii="Times New Roman" w:hAnsi="Times New Roman"/>
                <w:sz w:val="20"/>
              </w:rPr>
              <w:t xml:space="preserve">viena šalis ir vienas iš tėvų arba globėjas (nereikalingą žodį išbraukti), (toliau – </w:t>
            </w:r>
            <w:r>
              <w:rPr>
                <w:rFonts w:cs="Times New Roman" w:ascii="Times New Roman" w:hAnsi="Times New Roman"/>
                <w:b/>
                <w:sz w:val="20"/>
              </w:rPr>
              <w:t xml:space="preserve">stovyklautojo atstovas </w:t>
            </w:r>
            <w:r>
              <w:rPr>
                <w:rFonts w:cs="Times New Roman" w:ascii="Times New Roman" w:hAnsi="Times New Roman"/>
                <w:sz w:val="20"/>
              </w:rPr>
              <w:t>), atstovaujantis Lietuvos policijos mokyklos jaunimo stovyklos „Kursantas savaitei“ dalyvio (stovyklautojo) interesus</w:t>
            </w:r>
          </w:p>
        </w:tc>
      </w:tr>
      <w:tr>
        <w:trPr>
          <w:trHeight w:val="240" w:hRule="atLeast"/>
        </w:trPr>
        <w:tc>
          <w:tcPr>
            <w:tcW w:w="10064" w:type="dxa"/>
            <w:tcBorders>
              <w:top w:val="single" w:sz="4" w:space="0" w:color="FFFFFF"/>
              <w:left w:val="single" w:sz="4" w:space="0" w:color="FFFFFF"/>
              <w:bottom w:val="single" w:sz="4" w:space="0" w:color="000001"/>
              <w:right w:val="single" w:sz="4" w:space="0" w:color="FFFFFF"/>
              <w:insideH w:val="single" w:sz="4" w:space="0" w:color="000001"/>
              <w:insideV w:val="single" w:sz="4" w:space="0" w:color="FFFFFF"/>
            </w:tcBorders>
            <w:shd w:color="auto" w:fill="auto" w:val="clear"/>
            <w:tcMar>
              <w:left w:w="98" w:type="dxa"/>
            </w:tcMar>
          </w:tcPr>
          <w:p>
            <w:pPr>
              <w:pStyle w:val="Normal"/>
              <w:snapToGrid w:val="false"/>
              <w:spacing w:before="0" w:after="0"/>
              <w:ind w:left="42" w:right="42" w:hanging="0"/>
              <w:rPr>
                <w:rFonts w:ascii="Times New Roman" w:hAnsi="Times New Roman" w:cs="Times New Roman"/>
              </w:rPr>
            </w:pPr>
            <w:r>
              <w:rPr>
                <w:rFonts w:cs="Times New Roman" w:ascii="Times New Roman" w:hAnsi="Times New Roman"/>
              </w:rPr>
            </w:r>
          </w:p>
        </w:tc>
      </w:tr>
    </w:tbl>
    <w:p>
      <w:pPr>
        <w:pStyle w:val="Normal"/>
        <w:spacing w:before="0" w:after="0"/>
        <w:ind w:left="42" w:right="42" w:hanging="0"/>
        <w:rPr>
          <w:rFonts w:ascii="Times New Roman" w:hAnsi="Times New Roman" w:cs="Times New Roman"/>
          <w:sz w:val="20"/>
        </w:rPr>
      </w:pPr>
      <w:r>
        <w:rPr>
          <w:rFonts w:cs="Times New Roman" w:ascii="Times New Roman" w:hAnsi="Times New Roman"/>
          <w:sz w:val="16"/>
        </w:rPr>
        <w:t>(vieno iš tėvų vardas, pavardė, adresas ir telefonas)</w:t>
      </w:r>
    </w:p>
    <w:p>
      <w:pPr>
        <w:pStyle w:val="Normal"/>
        <w:spacing w:before="0" w:after="0"/>
        <w:ind w:left="42" w:right="42" w:hanging="0"/>
        <w:rPr>
          <w:rFonts w:ascii="Times New Roman" w:hAnsi="Times New Roman" w:cs="Times New Roman"/>
          <w:sz w:val="20"/>
        </w:rPr>
      </w:pPr>
      <w:r>
        <w:rPr>
          <w:rFonts w:cs="Times New Roman" w:ascii="Times New Roman" w:hAnsi="Times New Roman"/>
          <w:sz w:val="20"/>
        </w:rPr>
        <w:t>kita šalis, sudaro šią sutartį:</w:t>
      </w:r>
    </w:p>
    <w:p>
      <w:pPr>
        <w:pStyle w:val="Heading1"/>
        <w:numPr>
          <w:ilvl w:val="0"/>
          <w:numId w:val="1"/>
        </w:numPr>
        <w:ind w:left="42" w:right="42" w:hanging="0"/>
        <w:jc w:val="left"/>
        <w:rPr>
          <w:sz w:val="20"/>
        </w:rPr>
      </w:pPr>
      <w:r>
        <w:rPr>
          <w:sz w:val="20"/>
        </w:rPr>
      </w:r>
    </w:p>
    <w:p>
      <w:pPr>
        <w:pStyle w:val="Heading1"/>
        <w:numPr>
          <w:ilvl w:val="0"/>
          <w:numId w:val="1"/>
        </w:numPr>
        <w:ind w:left="42" w:right="42" w:hanging="0"/>
        <w:jc w:val="left"/>
        <w:rPr>
          <w:sz w:val="20"/>
        </w:rPr>
      </w:pPr>
      <w:r>
        <w:rPr>
          <w:sz w:val="20"/>
        </w:rPr>
        <w:t>SUTARTIES OBJEKTAS</w:t>
      </w:r>
    </w:p>
    <w:p>
      <w:pPr>
        <w:pStyle w:val="Normal"/>
        <w:spacing w:before="0" w:after="0"/>
        <w:ind w:left="42" w:right="42" w:hanging="0"/>
        <w:rPr>
          <w:rFonts w:ascii="Times New Roman" w:hAnsi="Times New Roman" w:cs="Times New Roman"/>
        </w:rPr>
      </w:pPr>
      <w:r>
        <w:rPr>
          <w:rFonts w:cs="Times New Roman" w:ascii="Times New Roman" w:hAnsi="Times New Roman"/>
          <w:sz w:val="20"/>
        </w:rPr>
        <w:t>Stovyklos organizatorius įsipareigoja stovyklos dalyviui</w:t>
      </w:r>
    </w:p>
    <w:tbl>
      <w:tblPr>
        <w:tblW w:w="9840" w:type="dxa"/>
        <w:jc w:val="left"/>
        <w:tblInd w:w="109" w:type="dxa"/>
        <w:tblBorders>
          <w:bottom w:val="single" w:sz="4" w:space="0" w:color="000001"/>
          <w:insideH w:val="single" w:sz="4" w:space="0" w:color="000001"/>
        </w:tblBorders>
        <w:tblCellMar>
          <w:top w:w="0" w:type="dxa"/>
          <w:left w:w="108" w:type="dxa"/>
          <w:bottom w:w="0" w:type="dxa"/>
          <w:right w:w="108" w:type="dxa"/>
        </w:tblCellMar>
        <w:tblLook w:firstRow="0" w:noVBand="0" w:lastRow="0" w:firstColumn="0" w:lastColumn="0" w:noHBand="0" w:val="0000"/>
      </w:tblPr>
      <w:tblGrid>
        <w:gridCol w:w="9840"/>
      </w:tblGrid>
      <w:tr>
        <w:trPr/>
        <w:tc>
          <w:tcPr>
            <w:tcW w:w="9840" w:type="dxa"/>
            <w:tcBorders>
              <w:bottom w:val="single" w:sz="4" w:space="0" w:color="000001"/>
              <w:insideH w:val="single" w:sz="4" w:space="0" w:color="000001"/>
            </w:tcBorders>
            <w:shd w:color="auto" w:fill="auto" w:val="clear"/>
          </w:tcPr>
          <w:p>
            <w:pPr>
              <w:pStyle w:val="Normal"/>
              <w:snapToGrid w:val="false"/>
              <w:spacing w:before="0" w:after="0"/>
              <w:ind w:left="42" w:right="42" w:hanging="0"/>
              <w:rPr>
                <w:rFonts w:ascii="Times New Roman" w:hAnsi="Times New Roman" w:cs="Times New Roman"/>
              </w:rPr>
            </w:pPr>
            <w:r>
              <w:rPr>
                <w:rFonts w:cs="Times New Roman" w:ascii="Times New Roman" w:hAnsi="Times New Roman"/>
              </w:rPr>
            </w:r>
          </w:p>
        </w:tc>
      </w:tr>
      <w:tr>
        <w:trPr/>
        <w:tc>
          <w:tcPr>
            <w:tcW w:w="9840" w:type="dxa"/>
            <w:tcBorders>
              <w:top w:val="single" w:sz="4" w:space="0" w:color="000001"/>
              <w:bottom w:val="single" w:sz="4" w:space="0" w:color="000001"/>
              <w:insideH w:val="single" w:sz="4" w:space="0" w:color="000001"/>
            </w:tcBorders>
            <w:shd w:color="auto" w:fill="auto" w:val="clear"/>
          </w:tcPr>
          <w:p>
            <w:pPr>
              <w:pStyle w:val="Normal"/>
              <w:snapToGrid w:val="false"/>
              <w:spacing w:before="0" w:after="0"/>
              <w:ind w:left="42" w:right="42" w:hanging="0"/>
              <w:jc w:val="center"/>
              <w:rPr>
                <w:rFonts w:ascii="Times New Roman" w:hAnsi="Times New Roman" w:cs="Times New Roman"/>
              </w:rPr>
            </w:pPr>
            <w:r>
              <w:rPr>
                <w:rFonts w:cs="Times New Roman" w:ascii="Times New Roman" w:hAnsi="Times New Roman"/>
                <w:sz w:val="16"/>
                <w:szCs w:val="20"/>
              </w:rPr>
              <w:t>(vaiko vardas, pavardė)</w:t>
            </w:r>
          </w:p>
        </w:tc>
      </w:tr>
    </w:tbl>
    <w:p>
      <w:pPr>
        <w:pStyle w:val="Normal"/>
        <w:spacing w:before="0" w:after="0"/>
        <w:ind w:left="42" w:right="-720" w:hanging="0"/>
        <w:jc w:val="both"/>
        <w:rPr>
          <w:rFonts w:ascii="Times New Roman" w:hAnsi="Times New Roman" w:cs="Times New Roman"/>
          <w:sz w:val="20"/>
          <w:szCs w:val="20"/>
        </w:rPr>
      </w:pPr>
      <w:r>
        <w:rPr>
          <w:rFonts w:cs="Times New Roman" w:ascii="Times New Roman" w:hAnsi="Times New Roman"/>
          <w:sz w:val="20"/>
          <w:szCs w:val="20"/>
        </w:rPr>
      </w:r>
    </w:p>
    <w:p>
      <w:pPr>
        <w:pStyle w:val="Normal"/>
        <w:spacing w:before="0" w:after="0"/>
        <w:ind w:left="42" w:right="-720" w:hanging="0"/>
        <w:jc w:val="both"/>
        <w:rPr>
          <w:rFonts w:ascii="Times New Roman" w:hAnsi="Times New Roman" w:cs="Times New Roman"/>
          <w:sz w:val="20"/>
          <w:szCs w:val="20"/>
        </w:rPr>
      </w:pPr>
      <w:r>
        <w:rPr>
          <w:rFonts w:cs="Times New Roman" w:ascii="Times New Roman" w:hAnsi="Times New Roman"/>
          <w:sz w:val="20"/>
          <w:szCs w:val="20"/>
        </w:rPr>
        <w:t>organizuoti ugdomąją programą jaunimo stovykloje „Kursantas savaitei“   ............................. (tiksli stovyklos data)</w:t>
      </w:r>
    </w:p>
    <w:p>
      <w:pPr>
        <w:pStyle w:val="Normal"/>
        <w:spacing w:before="0" w:after="0"/>
        <w:ind w:left="42" w:right="42" w:hanging="0"/>
        <w:rPr>
          <w:rFonts w:ascii="Times New Roman" w:hAnsi="Times New Roman" w:cs="Times New Roman"/>
          <w:sz w:val="20"/>
        </w:rPr>
      </w:pPr>
      <w:r>
        <w:rPr>
          <w:rFonts w:cs="Times New Roman" w:ascii="Times New Roman" w:hAnsi="Times New Roman"/>
          <w:sz w:val="20"/>
        </w:rPr>
      </w:r>
    </w:p>
    <w:p>
      <w:pPr>
        <w:pStyle w:val="Heading2"/>
        <w:numPr>
          <w:ilvl w:val="1"/>
          <w:numId w:val="1"/>
        </w:numPr>
        <w:ind w:left="42" w:right="-630" w:hanging="0"/>
        <w:jc w:val="left"/>
        <w:rPr>
          <w:sz w:val="20"/>
        </w:rPr>
      </w:pPr>
      <w:r>
        <w:rPr>
          <w:sz w:val="20"/>
        </w:rPr>
        <w:t>II. SUTARTIES ŠALIŲ ĮSIPAREIGOJIMAI</w:t>
      </w:r>
    </w:p>
    <w:p>
      <w:pPr>
        <w:pStyle w:val="Normal"/>
        <w:spacing w:before="0" w:after="0"/>
        <w:ind w:left="42" w:right="-630" w:hanging="0"/>
        <w:rPr>
          <w:rFonts w:ascii="Times New Roman" w:hAnsi="Times New Roman" w:cs="Times New Roman"/>
          <w:sz w:val="20"/>
        </w:rPr>
      </w:pPr>
      <w:r>
        <w:rPr>
          <w:rFonts w:cs="Times New Roman" w:ascii="Times New Roman" w:hAnsi="Times New Roman"/>
          <w:sz w:val="20"/>
        </w:rPr>
        <w:t xml:space="preserve">1. </w:t>
      </w:r>
      <w:r>
        <w:rPr>
          <w:rFonts w:cs="Times New Roman" w:ascii="Times New Roman" w:hAnsi="Times New Roman"/>
          <w:b/>
          <w:sz w:val="20"/>
        </w:rPr>
        <w:t>Stovyklos organizatorius  įsipareigoja:</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Įgyvendinti teminę stovyklos programą.</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 xml:space="preserve">Ugdyti jaunuolio (-ės) kūrybiškumą, savarankiškumą, asmenines ir socialines kompetencijas. Sudaryti bendravimo ir saviraiškos galimybes.  </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 xml:space="preserve">Užtikrinti jaunuolio (-ės) priežiūrą, saugą, sveikatą ir žalingų įpročių prevenciją.  </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Stovyklautojo pateiktus asmens duomenis naudoti tik stovyklos dokumentų įforminimui.</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Informuoti stovyklautojo tėvus (globėjus) stovyklautojui susirgus, ar įvykus nelaimingam atsitikimui.</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Stovyklos organizatorius neatsako už paliktus ar/ir pamestus stovyklos metu stovyklos dalyvio daiktus (jei randami palikti daiktai praneša ir atsiradus savininkui jie yra grąžinami)  ir neatlygina dėl to patirtų nuostolių.</w:t>
      </w:r>
    </w:p>
    <w:p>
      <w:pPr>
        <w:pStyle w:val="Normal"/>
        <w:numPr>
          <w:ilvl w:val="1"/>
          <w:numId w:val="4"/>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 xml:space="preserve">Užtikrinant stovyklos dalyvio saugumą ir stovyklos taisyklių laikymąsi, Stovyklos organizatorius turi teisę patikrinti  stovyklos dalyvio atsivežtus daiktus ir, esant būtinumui, juos  laikinai paimti iš stovyklos dalyvio. Išvykstant iš stovyklos, daiktai grąžinami stovyklos dalyviui ar stovyklautojo atstovui, išskyrus greitai gendantį maistą.  </w:t>
      </w:r>
    </w:p>
    <w:p>
      <w:pPr>
        <w:pStyle w:val="Normal"/>
        <w:spacing w:before="0" w:after="0"/>
        <w:ind w:left="42" w:right="-630" w:hanging="0"/>
        <w:rPr>
          <w:rFonts w:ascii="Times New Roman" w:hAnsi="Times New Roman" w:cs="Times New Roman"/>
          <w:sz w:val="20"/>
          <w:szCs w:val="20"/>
        </w:rPr>
      </w:pPr>
      <w:r>
        <w:rPr>
          <w:rFonts w:cs="Times New Roman" w:ascii="Times New Roman" w:hAnsi="Times New Roman"/>
          <w:sz w:val="20"/>
        </w:rPr>
        <w:t xml:space="preserve">2. </w:t>
      </w:r>
      <w:r>
        <w:rPr>
          <w:rFonts w:cs="Times New Roman" w:ascii="Times New Roman" w:hAnsi="Times New Roman"/>
          <w:b/>
          <w:sz w:val="20"/>
        </w:rPr>
        <w:t>Stovyklautojo atstovas (tėvai/globėjai) įsipareigoja:</w:t>
      </w:r>
    </w:p>
    <w:p>
      <w:pPr>
        <w:pStyle w:val="TextBodyIndent"/>
        <w:numPr>
          <w:ilvl w:val="1"/>
          <w:numId w:val="2"/>
        </w:numPr>
        <w:ind w:left="42" w:right="-630" w:hanging="0"/>
        <w:jc w:val="both"/>
        <w:rPr>
          <w:sz w:val="20"/>
          <w:szCs w:val="20"/>
        </w:rPr>
      </w:pPr>
      <w:r>
        <w:rPr>
          <w:sz w:val="20"/>
          <w:szCs w:val="20"/>
        </w:rPr>
        <w:t>Iki stovyklos pradžios (12 dienų) pateikti stovyklos organizatoriui užpildytus stovyklos dokumentus: stovyklautojo anketą, o sutartį su jaunuolio (-ės) tėvais (globėjais) pateikti atvykus į stovyklą.</w:t>
      </w:r>
    </w:p>
    <w:p>
      <w:pPr>
        <w:pStyle w:val="TextBodyIndent"/>
        <w:numPr>
          <w:ilvl w:val="1"/>
          <w:numId w:val="3"/>
        </w:numPr>
        <w:ind w:left="42" w:right="-630" w:hanging="0"/>
        <w:jc w:val="both"/>
        <w:rPr>
          <w:sz w:val="20"/>
          <w:szCs w:val="20"/>
        </w:rPr>
      </w:pPr>
      <w:r>
        <w:rPr>
          <w:sz w:val="20"/>
          <w:szCs w:val="20"/>
        </w:rPr>
        <w:t xml:space="preserve">Patikrinti </w:t>
      </w:r>
      <w:r>
        <w:rPr>
          <w:sz w:val="20"/>
        </w:rPr>
        <w:t>jaunuolio (-ės)</w:t>
      </w:r>
      <w:r>
        <w:rPr>
          <w:sz w:val="20"/>
          <w:szCs w:val="20"/>
        </w:rPr>
        <w:t xml:space="preserve"> sveikatą ir į stovyklą atsivežti </w:t>
      </w:r>
      <w:r>
        <w:rPr>
          <w:color w:val="000000"/>
          <w:sz w:val="20"/>
          <w:szCs w:val="20"/>
        </w:rPr>
        <w:t>Vaiko sveikatos pažymėjimą (forma Nr. 027</w:t>
        <w:noBreakHyphen/>
        <w:t xml:space="preserve">1/a), išduotą ne anksčiau kaip prieš metus, ar jo kopiją. </w:t>
      </w:r>
      <w:r>
        <w:rPr>
          <w:sz w:val="20"/>
          <w:szCs w:val="20"/>
        </w:rPr>
        <w:t>Neturint šios pažymos, stovyklos organizatorius, remdamasis Lietuvos higienos norma HN 79:2010 "Vaikų vasaros poilsio stovykla. Bendrieji sveikatos saugos reikalavimai" neturi teisės priimti stovyklautojo į stovyklą.</w:t>
      </w:r>
    </w:p>
    <w:p>
      <w:pPr>
        <w:pStyle w:val="TextBodyIndent"/>
        <w:numPr>
          <w:ilvl w:val="1"/>
          <w:numId w:val="3"/>
        </w:numPr>
        <w:ind w:left="42" w:right="-630" w:hanging="0"/>
        <w:jc w:val="both"/>
        <w:rPr>
          <w:sz w:val="20"/>
          <w:szCs w:val="20"/>
        </w:rPr>
      </w:pPr>
      <w:r>
        <w:rPr>
          <w:sz w:val="20"/>
          <w:szCs w:val="20"/>
        </w:rPr>
        <w:t>Apdrausti stovyklos dalyvį draudimu nuo nelaimingų atsitikimų  ir  Stovyklos organizatoriui papildomai pateikti galiojančią draudimo nuo nelaimingų atsitikimų poliso kopiją.</w:t>
      </w:r>
    </w:p>
    <w:p>
      <w:pPr>
        <w:pStyle w:val="Normal"/>
        <w:numPr>
          <w:ilvl w:val="1"/>
          <w:numId w:val="3"/>
        </w:numPr>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Užtikrinti, kad stovyklos dalyvis į stovyklą neatsivežtų alkoholinių gėrimų, tabako gaminių, psichoaktyviųjų medžiagų, elektroninių aparatų (žaidimų, ausinukų, magnetofonų ir pan.), o taip pat greitai gendančio maisto.</w:t>
      </w:r>
    </w:p>
    <w:p>
      <w:pPr>
        <w:pStyle w:val="TextBodyIndent"/>
        <w:numPr>
          <w:ilvl w:val="1"/>
          <w:numId w:val="3"/>
        </w:numPr>
        <w:ind w:left="42" w:right="-630" w:hanging="0"/>
        <w:jc w:val="both"/>
        <w:rPr>
          <w:sz w:val="20"/>
          <w:szCs w:val="20"/>
        </w:rPr>
      </w:pPr>
      <w:r>
        <w:rPr>
          <w:sz w:val="20"/>
          <w:szCs w:val="20"/>
        </w:rPr>
        <w:t>Prisiimti atsakomybę bei atlyginti nuostolius stovyklos organizatoriui, jei jų atstovaujamas stovyklos dalyvis stovyklos metu savo kaltais veiksmais padarytų žalos stovyklos organizatoriui, kitiems stovyklautojams  ar stovyklos metu naudojamam turtui.</w:t>
      </w:r>
    </w:p>
    <w:p>
      <w:pPr>
        <w:pStyle w:val="TextBodyIndent"/>
        <w:numPr>
          <w:ilvl w:val="1"/>
          <w:numId w:val="3"/>
        </w:numPr>
        <w:ind w:left="42" w:right="-630" w:hanging="0"/>
        <w:jc w:val="both"/>
        <w:rPr>
          <w:sz w:val="20"/>
          <w:szCs w:val="20"/>
        </w:rPr>
      </w:pPr>
      <w:r>
        <w:rPr>
          <w:sz w:val="20"/>
          <w:szCs w:val="20"/>
        </w:rPr>
        <w:t xml:space="preserve">Susipažinti ir supažindinti </w:t>
      </w:r>
      <w:r>
        <w:rPr>
          <w:sz w:val="20"/>
        </w:rPr>
        <w:t>jaunuolį (-ę)</w:t>
      </w:r>
      <w:r>
        <w:rPr>
          <w:sz w:val="20"/>
          <w:szCs w:val="20"/>
        </w:rPr>
        <w:t xml:space="preserve"> (stovyklos dalyvį) su Stovyklos taisyklėmis (Sutarties priedas).</w:t>
      </w:r>
    </w:p>
    <w:p>
      <w:pPr>
        <w:pStyle w:val="TextBodyIndent"/>
        <w:numPr>
          <w:ilvl w:val="1"/>
          <w:numId w:val="3"/>
        </w:numPr>
        <w:ind w:left="42" w:right="-630" w:hanging="0"/>
        <w:jc w:val="both"/>
        <w:rPr>
          <w:sz w:val="20"/>
          <w:szCs w:val="20"/>
        </w:rPr>
      </w:pPr>
      <w:r>
        <w:rPr>
          <w:sz w:val="20"/>
          <w:szCs w:val="20"/>
        </w:rPr>
        <w:t>Netrukdyti stovyklos programai:</w:t>
      </w:r>
    </w:p>
    <w:p>
      <w:pPr>
        <w:pStyle w:val="TextBodyIndent"/>
        <w:numPr>
          <w:ilvl w:val="2"/>
          <w:numId w:val="3"/>
        </w:numPr>
        <w:tabs>
          <w:tab w:val="left" w:pos="540" w:leader="none"/>
        </w:tabs>
        <w:ind w:left="42" w:right="-630" w:hanging="0"/>
        <w:jc w:val="both"/>
        <w:rPr>
          <w:sz w:val="20"/>
          <w:szCs w:val="20"/>
        </w:rPr>
      </w:pPr>
      <w:r>
        <w:rPr>
          <w:sz w:val="20"/>
          <w:szCs w:val="20"/>
        </w:rPr>
        <w:t xml:space="preserve">Be rimtos priežasties nelankyti </w:t>
      </w:r>
      <w:r>
        <w:rPr>
          <w:sz w:val="20"/>
        </w:rPr>
        <w:t>jaunuolio (-ės)</w:t>
      </w:r>
      <w:r>
        <w:rPr>
          <w:sz w:val="20"/>
          <w:szCs w:val="20"/>
        </w:rPr>
        <w:t xml:space="preserve"> stovyklos metu. Apie atvykimą informuoti stovyklos vadovą. Pasiimant laikinai </w:t>
      </w:r>
      <w:r>
        <w:rPr>
          <w:sz w:val="20"/>
        </w:rPr>
        <w:t>jaunuolį (-ę)</w:t>
      </w:r>
      <w:r>
        <w:rPr>
          <w:sz w:val="20"/>
          <w:szCs w:val="20"/>
        </w:rPr>
        <w:t xml:space="preserve"> iš stovyklos (ar anksčiau išvykstant) rašyti prašymą stovyklos vadovui. </w:t>
      </w:r>
      <w:r>
        <w:rPr>
          <w:sz w:val="20"/>
        </w:rPr>
        <w:t xml:space="preserve">Jaunuoliui (-ei) </w:t>
      </w:r>
      <w:r>
        <w:rPr>
          <w:sz w:val="20"/>
          <w:szCs w:val="20"/>
        </w:rPr>
        <w:t xml:space="preserve"> būnant su tėvais, atsakomybė už </w:t>
      </w:r>
      <w:r>
        <w:rPr>
          <w:sz w:val="20"/>
        </w:rPr>
        <w:t>jaunuolio (-ės)</w:t>
      </w:r>
      <w:r>
        <w:rPr>
          <w:sz w:val="20"/>
          <w:szCs w:val="20"/>
        </w:rPr>
        <w:t xml:space="preserve"> sveikatą ir saugumą tenka tėvams.</w:t>
      </w:r>
    </w:p>
    <w:p>
      <w:pPr>
        <w:pStyle w:val="TextBodyIndent"/>
        <w:numPr>
          <w:ilvl w:val="2"/>
          <w:numId w:val="3"/>
        </w:numPr>
        <w:tabs>
          <w:tab w:val="left" w:pos="540" w:leader="none"/>
        </w:tabs>
        <w:ind w:left="42" w:right="-630" w:hanging="0"/>
        <w:jc w:val="both"/>
        <w:rPr>
          <w:sz w:val="20"/>
          <w:szCs w:val="20"/>
        </w:rPr>
      </w:pPr>
      <w:r>
        <w:rPr>
          <w:sz w:val="20"/>
          <w:szCs w:val="20"/>
        </w:rPr>
        <w:t xml:space="preserve">Neskambinti stovyklos dalyviui ir neprašyti, kad jis skambintų. (Telefonas trukdo  stovyklos programai, atitraukia </w:t>
      </w:r>
      <w:r>
        <w:rPr>
          <w:sz w:val="20"/>
        </w:rPr>
        <w:t>jaunuolio (-ės)</w:t>
      </w:r>
      <w:r>
        <w:rPr>
          <w:sz w:val="20"/>
          <w:szCs w:val="20"/>
        </w:rPr>
        <w:t xml:space="preserve"> dėmesį ir neigiamai veikia vaikus.) Esant būtinumui susisiekti su </w:t>
      </w:r>
      <w:r>
        <w:rPr>
          <w:sz w:val="20"/>
        </w:rPr>
        <w:t>jaunuoliu (-e)</w:t>
      </w:r>
      <w:r>
        <w:rPr>
          <w:sz w:val="20"/>
          <w:szCs w:val="20"/>
        </w:rPr>
        <w:t xml:space="preserve"> per atsakingus už stovyklą asmenis.</w:t>
      </w:r>
    </w:p>
    <w:p>
      <w:pPr>
        <w:pStyle w:val="TextBodyIndent"/>
        <w:numPr>
          <w:ilvl w:val="1"/>
          <w:numId w:val="3"/>
        </w:numPr>
        <w:ind w:left="42" w:right="-630" w:hanging="0"/>
        <w:jc w:val="both"/>
        <w:rPr>
          <w:sz w:val="20"/>
          <w:szCs w:val="20"/>
        </w:rPr>
      </w:pPr>
      <w:r>
        <w:rPr>
          <w:sz w:val="20"/>
          <w:szCs w:val="20"/>
        </w:rPr>
        <w:t>Leisti medikui teikti stovyklos dalyviui (stovyklautojui) būtinąją med. priežiūrą ir pagalbą.</w:t>
      </w:r>
    </w:p>
    <w:p>
      <w:pPr>
        <w:pStyle w:val="TextBodyIndent"/>
        <w:tabs>
          <w:tab w:val="left" w:pos="360" w:leader="none"/>
        </w:tabs>
        <w:ind w:left="42" w:right="-630" w:hanging="0"/>
        <w:jc w:val="both"/>
        <w:rPr>
          <w:sz w:val="20"/>
          <w:szCs w:val="20"/>
        </w:rPr>
      </w:pPr>
      <w:r>
        <w:rPr>
          <w:sz w:val="20"/>
          <w:szCs w:val="20"/>
        </w:rPr>
        <w:t xml:space="preserve">2.10.Leisti stovyklos organizatoriui, atvykus į stovyklą  ir (ar) esant būtinumui patikrinti stovyklos dalyvio daiktus. </w:t>
      </w:r>
    </w:p>
    <w:p>
      <w:pPr>
        <w:pStyle w:val="TextBodyIndent"/>
        <w:tabs>
          <w:tab w:val="left" w:pos="360" w:leader="none"/>
        </w:tabs>
        <w:ind w:left="42" w:right="-630" w:hanging="0"/>
        <w:jc w:val="both"/>
        <w:rPr>
          <w:rFonts w:eastAsia="TimesNewRomanPSMT"/>
          <w:sz w:val="20"/>
          <w:szCs w:val="20"/>
        </w:rPr>
      </w:pPr>
      <w:r>
        <w:rPr>
          <w:sz w:val="20"/>
          <w:szCs w:val="20"/>
        </w:rPr>
        <w:t>2.11.Laikytis stovyklos organizatoriaus  šioje sutartyje numatytų taisyklių ir įsipareigojimų.</w:t>
      </w:r>
    </w:p>
    <w:p>
      <w:pPr>
        <w:pStyle w:val="TextBodyIndent"/>
        <w:tabs>
          <w:tab w:val="left" w:pos="360" w:leader="none"/>
        </w:tabs>
        <w:ind w:left="42" w:right="-630" w:hanging="0"/>
        <w:jc w:val="both"/>
        <w:rPr>
          <w:sz w:val="20"/>
          <w:szCs w:val="20"/>
        </w:rPr>
      </w:pPr>
      <w:r>
        <w:rPr>
          <w:rFonts w:eastAsia="TimesNewRomanPSMT"/>
          <w:sz w:val="20"/>
          <w:szCs w:val="20"/>
        </w:rPr>
        <w:t>2.12.</w:t>
      </w:r>
      <w:r>
        <w:rPr>
          <w:sz w:val="20"/>
          <w:szCs w:val="20"/>
        </w:rPr>
        <w:t xml:space="preserve"> Šia sutartimi stovyklautojas (jo atstovas) pareiškia, kad neprieštarauja, jog stovyklos organizatoriaus stovyklavimo metu padarytos nuotraukos bei filmuota medžiaga yra stovyklos organizatoriaus nuosavybė ir gali būti naudojama stovyklos organizatoriaus veiklos viešinimo tikslams be atskiro stovyklautojo (jo atstovo) sutikimo.</w:t>
      </w:r>
    </w:p>
    <w:p>
      <w:pPr>
        <w:pStyle w:val="TextBodyIndent"/>
        <w:tabs>
          <w:tab w:val="left" w:pos="360" w:leader="none"/>
        </w:tabs>
        <w:ind w:left="42" w:right="-630" w:hanging="0"/>
        <w:jc w:val="both"/>
        <w:rPr>
          <w:b/>
          <w:b/>
          <w:sz w:val="18"/>
          <w:szCs w:val="20"/>
        </w:rPr>
      </w:pPr>
      <w:r>
        <w:rPr>
          <w:sz w:val="20"/>
          <w:szCs w:val="20"/>
        </w:rPr>
        <w:t xml:space="preserve">2.13. Stovyklos organizatoriams priėmus sprendimą pašalinti stovyklautoją iš stovyklos už stovyklautojo įsipareigojimų nevykdymą, savo lėšomis organizuoti jaunuolio (-ės) paėmimą iš stovyklos. </w:t>
      </w:r>
    </w:p>
    <w:p>
      <w:pPr>
        <w:pStyle w:val="Normal"/>
        <w:spacing w:before="0" w:after="0"/>
        <w:ind w:left="42" w:right="-630" w:hanging="0"/>
        <w:rPr>
          <w:rFonts w:ascii="Times New Roman" w:hAnsi="Times New Roman" w:cs="Times New Roman"/>
          <w:b/>
          <w:b/>
          <w:sz w:val="18"/>
          <w:szCs w:val="20"/>
        </w:rPr>
      </w:pPr>
      <w:r>
        <w:rPr>
          <w:rFonts w:cs="Times New Roman" w:ascii="Times New Roman" w:hAnsi="Times New Roman"/>
          <w:b/>
          <w:sz w:val="18"/>
          <w:szCs w:val="20"/>
        </w:rPr>
      </w:r>
    </w:p>
    <w:p>
      <w:pPr>
        <w:pStyle w:val="Normal"/>
        <w:spacing w:before="0" w:after="0"/>
        <w:ind w:left="42" w:right="-630" w:hanging="0"/>
        <w:rPr>
          <w:rFonts w:ascii="Times New Roman" w:hAnsi="Times New Roman" w:cs="Times New Roman"/>
          <w:sz w:val="20"/>
        </w:rPr>
      </w:pPr>
      <w:r>
        <w:rPr>
          <w:rFonts w:cs="Times New Roman" w:ascii="Times New Roman" w:hAnsi="Times New Roman"/>
          <w:b/>
          <w:sz w:val="18"/>
          <w:szCs w:val="20"/>
        </w:rPr>
        <w:t>III. SUTARTIES ĮSIGALIOJIMAS, GALIOJIMAS, KEITIMAS IR NUTRAUKIMAS</w:t>
      </w:r>
    </w:p>
    <w:p>
      <w:pPr>
        <w:pStyle w:val="Normal"/>
        <w:numPr>
          <w:ilvl w:val="0"/>
          <w:numId w:val="3"/>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Sutartis įsigalioja nuo jos pasirašymo dienos ir galioja iki stovyklos pabaigos.</w:t>
      </w:r>
    </w:p>
    <w:p>
      <w:pPr>
        <w:pStyle w:val="Normal"/>
        <w:numPr>
          <w:ilvl w:val="0"/>
          <w:numId w:val="3"/>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 xml:space="preserve">Stovyklos organizatorius turi teisę vienašališkai nutraukti sutartį dėl sutartyje numatytų stovyklautojo įsipareigojimų nevykdymo ir (ar) </w:t>
      </w:r>
      <w:r>
        <w:rPr>
          <w:rFonts w:cs="Times New Roman" w:ascii="Times New Roman" w:hAnsi="Times New Roman"/>
          <w:sz w:val="20"/>
          <w:szCs w:val="20"/>
        </w:rPr>
        <w:t>išsiųsti stovyklautoją iš stovyklos jai nepasibaigus, jei stovyklautojas nesilaikys stovyklos  taisyklėse nurodytų reikalavimų, t. y.:</w:t>
      </w:r>
    </w:p>
    <w:p>
      <w:pPr>
        <w:pStyle w:val="Normal"/>
        <w:tabs>
          <w:tab w:val="left" w:pos="360" w:leader="none"/>
          <w:tab w:val="left" w:pos="720" w:leader="none"/>
        </w:tabs>
        <w:spacing w:before="0" w:after="0"/>
        <w:ind w:left="42" w:right="-630" w:hanging="0"/>
        <w:jc w:val="both"/>
        <w:rPr>
          <w:rFonts w:ascii="Times New Roman" w:hAnsi="Times New Roman" w:cs="Times New Roman"/>
          <w:sz w:val="20"/>
        </w:rPr>
      </w:pPr>
      <w:r>
        <w:rPr>
          <w:rFonts w:cs="Times New Roman" w:ascii="Times New Roman" w:hAnsi="Times New Roman"/>
          <w:sz w:val="20"/>
        </w:rPr>
        <w:t>-</w:t>
        <w:tab/>
        <w:t>blogo elgesio kitų stovyklautojų atžvilgiu (terorizavimo, muštynių ir kitų veiksmų, keliančių pavojų kitų vaikų sveikatai ir gyvybei, vagystės ir kt.);</w:t>
      </w:r>
    </w:p>
    <w:p>
      <w:pPr>
        <w:pStyle w:val="Normal"/>
        <w:tabs>
          <w:tab w:val="left" w:pos="360" w:leader="none"/>
          <w:tab w:val="left" w:pos="720" w:leader="none"/>
        </w:tabs>
        <w:spacing w:before="0" w:after="0"/>
        <w:ind w:left="42" w:right="-630" w:hanging="0"/>
        <w:jc w:val="both"/>
        <w:rPr>
          <w:rFonts w:ascii="Times New Roman" w:hAnsi="Times New Roman" w:cs="Times New Roman"/>
          <w:sz w:val="20"/>
        </w:rPr>
      </w:pPr>
      <w:r>
        <w:rPr>
          <w:rFonts w:cs="Times New Roman" w:ascii="Times New Roman" w:hAnsi="Times New Roman"/>
          <w:sz w:val="20"/>
        </w:rPr>
        <w:t>-</w:t>
        <w:tab/>
        <w:t>rūkymo, alkoholio, narkotinių ir psichotropinių medžiagų vartojimo bei platinimo;</w:t>
      </w:r>
    </w:p>
    <w:p>
      <w:pPr>
        <w:pStyle w:val="Normal"/>
        <w:tabs>
          <w:tab w:val="left" w:pos="360" w:leader="none"/>
          <w:tab w:val="left" w:pos="720" w:leader="none"/>
        </w:tabs>
        <w:spacing w:before="0" w:after="0"/>
        <w:ind w:left="42" w:right="-630" w:hanging="0"/>
        <w:jc w:val="both"/>
        <w:rPr>
          <w:rFonts w:ascii="Times New Roman" w:hAnsi="Times New Roman" w:cs="Times New Roman"/>
          <w:sz w:val="20"/>
        </w:rPr>
      </w:pPr>
      <w:r>
        <w:rPr>
          <w:rFonts w:cs="Times New Roman" w:ascii="Times New Roman" w:hAnsi="Times New Roman"/>
          <w:sz w:val="20"/>
        </w:rPr>
        <w:t>-</w:t>
        <w:tab/>
        <w:t xml:space="preserve">stovyklos turto, inventoriaus piktybinio gadinimo. </w:t>
      </w:r>
    </w:p>
    <w:p>
      <w:pPr>
        <w:pStyle w:val="Normal"/>
        <w:numPr>
          <w:ilvl w:val="0"/>
          <w:numId w:val="3"/>
        </w:numPr>
        <w:suppressAutoHyphens w:val="true"/>
        <w:spacing w:lineRule="auto" w:line="240" w:before="0" w:after="0"/>
        <w:ind w:left="42" w:right="-630" w:hanging="0"/>
        <w:jc w:val="both"/>
        <w:rPr>
          <w:rFonts w:ascii="Times New Roman" w:hAnsi="Times New Roman" w:cs="Times New Roman"/>
          <w:sz w:val="20"/>
        </w:rPr>
      </w:pPr>
      <w:r>
        <w:rPr>
          <w:rFonts w:cs="Times New Roman" w:ascii="Times New Roman" w:hAnsi="Times New Roman"/>
          <w:sz w:val="20"/>
        </w:rPr>
        <w:t>Sutarties šalys ginčus spręs šalių gera valia. Šalims nepavykus susitarti, ginčai sprendžiami Lietuvos Respublikos įstatymų numatyta tvarka.</w:t>
      </w:r>
    </w:p>
    <w:p>
      <w:pPr>
        <w:pStyle w:val="ListParagraph"/>
        <w:numPr>
          <w:ilvl w:val="0"/>
          <w:numId w:val="3"/>
        </w:numPr>
        <w:spacing w:before="0" w:after="0"/>
        <w:rPr>
          <w:rFonts w:ascii="Times New Roman" w:hAnsi="Times New Roman" w:cs="Times New Roman"/>
        </w:rPr>
      </w:pPr>
      <w:r>
        <w:rPr>
          <w:rFonts w:cs="Times New Roman" w:ascii="Times New Roman" w:hAnsi="Times New Roman"/>
          <w:sz w:val="20"/>
        </w:rPr>
        <w:t>Sutartis sudaryta dviem egzemplioriais, turinčiais  vienodą juridinę galią (po vieną kiekvienai šaliai).</w:t>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tabs>
          <w:tab w:val="left" w:pos="6930" w:leader="none"/>
        </w:tabs>
        <w:spacing w:before="0" w:after="0"/>
        <w:ind w:right="-630" w:hanging="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Lietuvos policijos mokyklos jaunimo stovyklos </w:t>
      </w:r>
    </w:p>
    <w:p>
      <w:pPr>
        <w:pStyle w:val="Normal"/>
        <w:tabs>
          <w:tab w:val="left" w:pos="6930" w:leader="none"/>
        </w:tabs>
        <w:spacing w:before="0" w:after="0"/>
        <w:ind w:right="-720" w:hanging="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Kursantas savaitei“ sutarties </w:t>
      </w:r>
    </w:p>
    <w:p>
      <w:pPr>
        <w:pStyle w:val="Normal"/>
        <w:tabs>
          <w:tab w:val="left" w:pos="6930" w:leader="none"/>
        </w:tabs>
        <w:spacing w:before="0" w:after="0"/>
        <w:ind w:right="-630" w:hanging="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priedas</w:t>
      </w:r>
    </w:p>
    <w:p>
      <w:pPr>
        <w:pStyle w:val="Normal"/>
        <w:tabs>
          <w:tab w:val="left" w:pos="6930" w:leader="none"/>
        </w:tabs>
        <w:spacing w:before="0" w:after="0"/>
        <w:ind w:right="-630" w:hanging="0"/>
        <w:rPr>
          <w:rFonts w:ascii="Times New Roman" w:hAnsi="Times New Roman" w:cs="Times New Roman"/>
        </w:rPr>
      </w:pPr>
      <w:r>
        <w:rPr>
          <w:rFonts w:cs="Times New Roman" w:ascii="Times New Roman" w:hAnsi="Times New Roman"/>
        </w:rPr>
      </w:r>
    </w:p>
    <w:p>
      <w:pPr>
        <w:pStyle w:val="Normal"/>
        <w:spacing w:before="120" w:after="0"/>
        <w:ind w:left="42" w:right="-630" w:hanging="0"/>
        <w:jc w:val="center"/>
        <w:rPr>
          <w:rFonts w:ascii="Times New Roman" w:hAnsi="Times New Roman" w:cs="Times New Roman"/>
          <w:b/>
          <w:b/>
          <w:sz w:val="24"/>
          <w:szCs w:val="24"/>
        </w:rPr>
      </w:pPr>
      <w:r>
        <w:rPr>
          <w:rFonts w:cs="Times New Roman" w:ascii="Times New Roman" w:hAnsi="Times New Roman"/>
          <w:b/>
          <w:sz w:val="24"/>
          <w:szCs w:val="24"/>
        </w:rPr>
        <w:t>STOVYKLOS  TAISYKLĖS</w:t>
      </w:r>
    </w:p>
    <w:p>
      <w:pPr>
        <w:pStyle w:val="Normal"/>
        <w:spacing w:before="120" w:after="0"/>
        <w:ind w:left="42" w:right="-630" w:hanging="0"/>
        <w:jc w:val="center"/>
        <w:rPr>
          <w:rFonts w:ascii="Times New Roman" w:hAnsi="Times New Roman" w:cs="Times New Roman"/>
          <w:b/>
          <w:b/>
          <w:sz w:val="20"/>
          <w:szCs w:val="20"/>
        </w:rPr>
      </w:pPr>
      <w:r>
        <w:rPr>
          <w:rFonts w:cs="Times New Roman" w:ascii="Times New Roman" w:hAnsi="Times New Roman"/>
          <w:b/>
          <w:sz w:val="20"/>
          <w:szCs w:val="20"/>
        </w:rPr>
      </w:r>
    </w:p>
    <w:p>
      <w:pPr>
        <w:pStyle w:val="Normal"/>
        <w:tabs>
          <w:tab w:val="left" w:pos="8520" w:leader="none"/>
        </w:tabs>
        <w:ind w:left="42" w:right="-630" w:hanging="0"/>
        <w:jc w:val="both"/>
        <w:rPr>
          <w:rFonts w:ascii="Times New Roman" w:hAnsi="Times New Roman" w:cs="Times New Roman"/>
          <w:sz w:val="20"/>
          <w:szCs w:val="20"/>
        </w:rPr>
      </w:pPr>
      <w:r>
        <w:rPr>
          <w:rFonts w:cs="Times New Roman" w:ascii="Times New Roman" w:hAnsi="Times New Roman"/>
          <w:b/>
          <w:sz w:val="20"/>
          <w:szCs w:val="20"/>
        </w:rPr>
        <w:t>I. STOVYKLOS DALYVIO (STOVYKLAUTOJO)  ĮSIPAREIGOJIMAI</w:t>
      </w:r>
    </w:p>
    <w:p>
      <w:pPr>
        <w:pStyle w:val="Normal"/>
        <w:numPr>
          <w:ilvl w:val="0"/>
          <w:numId w:val="5"/>
        </w:numPr>
        <w:tabs>
          <w:tab w:val="left" w:pos="360" w:leader="none"/>
        </w:tabs>
        <w:suppressAutoHyphens w:val="true"/>
        <w:spacing w:lineRule="auto" w:line="240" w:before="120" w:after="0"/>
        <w:ind w:left="42" w:right="-630" w:hanging="0"/>
        <w:jc w:val="both"/>
        <w:rPr>
          <w:rFonts w:ascii="Times New Roman" w:hAnsi="Times New Roman" w:cs="Times New Roman"/>
          <w:sz w:val="20"/>
          <w:szCs w:val="20"/>
        </w:rPr>
      </w:pPr>
      <w:r>
        <w:rPr>
          <w:rFonts w:cs="Times New Roman" w:ascii="Times New Roman" w:hAnsi="Times New Roman"/>
          <w:sz w:val="20"/>
          <w:szCs w:val="20"/>
        </w:rPr>
        <w:t>Laikytis programoje nustatytos dienotvarkės ir stovyklos tvarkos.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Stovyklos metu laikytis drausmės bei atsakingų asmenų nurodymų.</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Saugoti savo sveikatą ir nekelti pavojaus kitiems.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 xml:space="preserve">Saugoti ir tausoti stovyklos turtą ir inventorių. </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Atlyginti stovyklos metu stovyklos organizatoriui ar/ir kitiems stovyklos dalyviams padarytą žalą.</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Apsidrausti nuo nelaimingų atsitikimų stovyklos laikotarpiui ir draudimo poliso kopiją atsivežti į stovyklą.</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Nesivežti elektroninių aparatų (žaidimų, ausinukų, mp3, ir pan.), išskyrus tuos atvejus, jei šie prietaisai reikalingi programai. Atsivežus šių daiktų į stovyklą, juos reikia atiduoti stovyklos vadovui, kuris, pasibaigus stovyklavimo laikui, juos grąžins.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Nesinaudoti mobiliu telefonu užsiėmimų metu.</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Nesivežti greitai gendančio maisto.</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Stovyklos metu nerūkyti.</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Stovyklos metu nevartoti alkoholinių gėrimų bei kitų svaiginančių medžiagų.</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Neišeiti iš stovyklos teritorijos be atsakingų asmenų leidimo.</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Nesimaudyti vandens telkiniuose be stovyklos atsakingų asmenų leidimo bei priežiūros.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b/>
          <w:b/>
          <w:sz w:val="20"/>
          <w:szCs w:val="20"/>
        </w:rPr>
      </w:pPr>
      <w:r>
        <w:rPr>
          <w:rFonts w:cs="Times New Roman" w:ascii="Times New Roman" w:hAnsi="Times New Roman"/>
          <w:sz w:val="20"/>
          <w:szCs w:val="20"/>
        </w:rPr>
        <w:t xml:space="preserve">Vadovai turi teisę išsiųsti dalyvį iš stovyklos jai nepasibaigus, jei dalyvis nesilaikys šiose taisyklėse nurodytų 9-13 punktų reikalavimų. </w:t>
      </w:r>
    </w:p>
    <w:p>
      <w:pPr>
        <w:pStyle w:val="Normal"/>
        <w:spacing w:before="120" w:after="0"/>
        <w:ind w:left="42" w:right="-630" w:hanging="0"/>
        <w:jc w:val="both"/>
        <w:rPr>
          <w:rFonts w:ascii="Times New Roman" w:hAnsi="Times New Roman" w:cs="Times New Roman"/>
          <w:sz w:val="20"/>
          <w:szCs w:val="20"/>
        </w:rPr>
      </w:pPr>
      <w:r>
        <w:rPr>
          <w:rFonts w:cs="Times New Roman" w:ascii="Times New Roman" w:hAnsi="Times New Roman"/>
          <w:b/>
          <w:sz w:val="20"/>
          <w:szCs w:val="20"/>
        </w:rPr>
        <w:t>II. TĖVŲ (GLOBĖJŲ) ĮSIPAREIGOJIMAI</w:t>
      </w:r>
    </w:p>
    <w:p>
      <w:pPr>
        <w:pStyle w:val="Normal"/>
        <w:numPr>
          <w:ilvl w:val="0"/>
          <w:numId w:val="5"/>
        </w:numPr>
        <w:tabs>
          <w:tab w:val="left" w:pos="360" w:leader="none"/>
        </w:tabs>
        <w:suppressAutoHyphens w:val="true"/>
        <w:spacing w:lineRule="auto" w:line="240" w:before="120" w:after="0"/>
        <w:ind w:left="42" w:right="-630" w:hanging="0"/>
        <w:jc w:val="both"/>
        <w:rPr>
          <w:rFonts w:ascii="Times New Roman" w:hAnsi="Times New Roman" w:cs="Times New Roman"/>
          <w:sz w:val="20"/>
          <w:szCs w:val="20"/>
        </w:rPr>
      </w:pPr>
      <w:r>
        <w:rPr>
          <w:rFonts w:cs="Times New Roman" w:ascii="Times New Roman" w:hAnsi="Times New Roman"/>
          <w:sz w:val="20"/>
          <w:szCs w:val="20"/>
        </w:rPr>
        <w:t>Iki stovyklos pradžios (1</w:t>
      </w:r>
      <w:r>
        <w:rPr>
          <w:rFonts w:cs="Times New Roman" w:ascii="Times New Roman" w:hAnsi="Times New Roman"/>
          <w:sz w:val="20"/>
          <w:szCs w:val="20"/>
          <w:lang w:val="en-US"/>
        </w:rPr>
        <w:t>2</w:t>
      </w:r>
      <w:r>
        <w:rPr>
          <w:rFonts w:cs="Times New Roman" w:ascii="Times New Roman" w:hAnsi="Times New Roman"/>
          <w:sz w:val="20"/>
          <w:szCs w:val="20"/>
        </w:rPr>
        <w:t xml:space="preserve"> dienų) pateikti stovyklos organizatoriui užpildytus stovyklos dokumentus: stovyklautojo, Tėvų (globėjų) sutikimo raštą (pildo tėvai/globėjai). Į stovyklą atsivežti</w:t>
      </w:r>
      <w:r>
        <w:rPr>
          <w:rFonts w:cs="Times New Roman" w:ascii="Times New Roman" w:hAnsi="Times New Roman"/>
          <w:color w:val="000000"/>
          <w:sz w:val="20"/>
          <w:szCs w:val="20"/>
        </w:rPr>
        <w:t xml:space="preserve"> Vaiko sveikatos pažymėjimą (forma Nr. 027</w:t>
        <w:noBreakHyphen/>
        <w:t>1/a), išduotą ne anksčiau  kaip prieš metus, ar jo kopiją</w:t>
      </w:r>
      <w:r>
        <w:rPr>
          <w:rFonts w:cs="Times New Roman" w:ascii="Times New Roman" w:hAnsi="Times New Roman"/>
          <w:sz w:val="20"/>
          <w:szCs w:val="20"/>
        </w:rPr>
        <w:t>, galiojančią draudimo poliso kopiją.</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Atsakyti  stovyklos organizatoriui bei atlyginti nuostolius, jei jų atstovaujamas stovyklos dalyvis stovyklos metu savo kaltais veiksmais padarytų žalos stovyklos organizatoriui, kitiems stovyklautojams ar stovyklos metu naudojamam turtui.</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Užtikrinti stovyklos dalyvių (stovyklautojų) atvežimą į stovyklą ir jų išvykimą stovyklai pasibaigus.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Pasiimti stovyklautoją iš stovyklos, jei pagal šių taisyklių 9-13 punktus stovyklautojas yra išsiunčiamas iš stovyklos.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Netrukdyti stovyklos programai. Be rimtos priežasties nelankyti jaunuolių stovyklos metu. Apie atvykimą informuoti stovyklos vadovą. Pasiimant laikinai jaunuolį (-ę) iš stovyklos (ar anksčiau išvykstant) rašyti prašymą stovyklos vadovui. Jaunuoliui (-ei) būnant su tėvais, atsakomybė už jo sveikatą ir saugumą tenka tėvams.</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 xml:space="preserve">Neskambinti  ir neprašyti, kad stovyklos dalyvis skambintų. Esant būtinumui susisiekti su stovyklautoju per stovyklos atsakingus asmenis. </w:t>
      </w:r>
    </w:p>
    <w:p>
      <w:pPr>
        <w:pStyle w:val="Normal"/>
        <w:numPr>
          <w:ilvl w:val="0"/>
          <w:numId w:val="5"/>
        </w:numPr>
        <w:tabs>
          <w:tab w:val="left" w:pos="360" w:leader="none"/>
        </w:tabs>
        <w:suppressAutoHyphens w:val="true"/>
        <w:spacing w:lineRule="auto" w:line="240" w:before="0" w:after="0"/>
        <w:ind w:left="42" w:right="-630" w:hanging="0"/>
        <w:jc w:val="both"/>
        <w:rPr>
          <w:rFonts w:ascii="Times New Roman" w:hAnsi="Times New Roman" w:cs="Times New Roman"/>
          <w:sz w:val="20"/>
          <w:szCs w:val="20"/>
        </w:rPr>
      </w:pPr>
      <w:r>
        <w:rPr>
          <w:rFonts w:cs="Times New Roman" w:ascii="Times New Roman" w:hAnsi="Times New Roman"/>
          <w:sz w:val="20"/>
          <w:szCs w:val="20"/>
        </w:rPr>
        <w:t xml:space="preserve">Už pasekmes, kilusias dėl stovyklautojo įsipareigojimų nevykdymo, stovyklos organizatorius neatsako. </w:t>
      </w:r>
    </w:p>
    <w:p>
      <w:pPr>
        <w:pStyle w:val="Normal"/>
        <w:spacing w:before="120" w:after="0"/>
        <w:ind w:left="42" w:right="-630" w:hanging="0"/>
        <w:jc w:val="both"/>
        <w:rPr>
          <w:rFonts w:ascii="Times New Roman" w:hAnsi="Times New Roman" w:cs="Times New Roman"/>
          <w:sz w:val="20"/>
          <w:szCs w:val="20"/>
        </w:rPr>
      </w:pPr>
      <w:r>
        <w:rPr>
          <w:rFonts w:cs="Times New Roman" w:ascii="Times New Roman" w:hAnsi="Times New Roman"/>
          <w:sz w:val="20"/>
          <w:szCs w:val="20"/>
        </w:rPr>
      </w:r>
    </w:p>
    <w:p>
      <w:pPr>
        <w:pStyle w:val="Normal"/>
        <w:spacing w:before="120" w:after="0"/>
        <w:ind w:left="42" w:right="-630" w:hanging="0"/>
        <w:jc w:val="both"/>
        <w:rPr>
          <w:rFonts w:ascii="Times New Roman" w:hAnsi="Times New Roman" w:cs="Times New Roman"/>
          <w:i/>
          <w:i/>
          <w:iCs/>
          <w:sz w:val="20"/>
          <w:szCs w:val="20"/>
        </w:rPr>
      </w:pPr>
      <w:r>
        <w:rPr>
          <w:rFonts w:cs="Times New Roman" w:ascii="Times New Roman" w:hAnsi="Times New Roman"/>
          <w:sz w:val="20"/>
          <w:szCs w:val="20"/>
        </w:rPr>
        <w:t>SUTARTIES ŠALIŲ PARAŠAI</w:t>
      </w:r>
    </w:p>
    <w:p>
      <w:pPr>
        <w:pStyle w:val="Normal"/>
        <w:spacing w:before="120" w:after="120"/>
        <w:ind w:left="42" w:right="-630" w:hanging="0"/>
        <w:jc w:val="both"/>
        <w:rPr>
          <w:rFonts w:ascii="Times New Roman" w:hAnsi="Times New Roman" w:cs="Times New Roman"/>
          <w:sz w:val="20"/>
          <w:szCs w:val="20"/>
        </w:rPr>
      </w:pPr>
      <w:r>
        <w:rPr>
          <w:rFonts w:cs="Times New Roman" w:ascii="Times New Roman" w:hAnsi="Times New Roman"/>
          <w:i/>
          <w:iCs/>
          <w:sz w:val="20"/>
          <w:szCs w:val="20"/>
        </w:rPr>
        <w:t>Stovyklos organizatorius:</w:t>
      </w:r>
    </w:p>
    <w:tbl>
      <w:tblPr>
        <w:tblW w:w="9997" w:type="dxa"/>
        <w:jc w:val="left"/>
        <w:tblInd w:w="105" w:type="dxa"/>
        <w:tblBorders>
          <w:top w:val="single" w:sz="4" w:space="0" w:color="FFFFFF"/>
          <w:left w:val="single" w:sz="4" w:space="0" w:color="FFFFFF"/>
          <w:bottom w:val="single" w:sz="4" w:space="0" w:color="000001"/>
          <w:insideH w:val="single" w:sz="4" w:space="0" w:color="000001"/>
        </w:tblBorders>
        <w:tblCellMar>
          <w:top w:w="0" w:type="dxa"/>
          <w:left w:w="98" w:type="dxa"/>
          <w:bottom w:w="0" w:type="dxa"/>
          <w:right w:w="108" w:type="dxa"/>
        </w:tblCellMar>
        <w:tblLook w:firstRow="0" w:noVBand="0" w:lastRow="0" w:firstColumn="0" w:lastColumn="0" w:noHBand="0" w:val="0000"/>
      </w:tblPr>
      <w:tblGrid>
        <w:gridCol w:w="2708"/>
        <w:gridCol w:w="1332"/>
        <w:gridCol w:w="1320"/>
        <w:gridCol w:w="750"/>
        <w:gridCol w:w="3887"/>
      </w:tblGrid>
      <w:tr>
        <w:trPr/>
        <w:tc>
          <w:tcPr>
            <w:tcW w:w="2708" w:type="dxa"/>
            <w:tcBorders>
              <w:top w:val="single" w:sz="4" w:space="0" w:color="FFFFFF"/>
              <w:left w:val="single" w:sz="4" w:space="0" w:color="FFFFFF"/>
              <w:bottom w:val="single" w:sz="4" w:space="0" w:color="000001"/>
              <w:insideH w:val="single" w:sz="4" w:space="0" w:color="000001"/>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1332"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1320" w:type="dxa"/>
            <w:tcBorders>
              <w:top w:val="single" w:sz="4" w:space="0" w:color="FFFFFF"/>
              <w:left w:val="single" w:sz="4" w:space="0" w:color="FFFFFF"/>
              <w:bottom w:val="single" w:sz="4" w:space="0" w:color="000001"/>
              <w:insideH w:val="single" w:sz="4" w:space="0" w:color="000001"/>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750"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3887" w:type="dxa"/>
            <w:tcBorders>
              <w:top w:val="single" w:sz="4" w:space="0" w:color="FFFFFF"/>
              <w:left w:val="single" w:sz="4" w:space="0" w:color="FFFFFF"/>
              <w:bottom w:val="single" w:sz="4" w:space="0" w:color="000001"/>
              <w:right w:val="single" w:sz="4" w:space="0" w:color="FFFFFF"/>
              <w:insideH w:val="single" w:sz="4" w:space="0" w:color="000001"/>
              <w:insideV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r>
      <w:tr>
        <w:trPr/>
        <w:tc>
          <w:tcPr>
            <w:tcW w:w="2708" w:type="dxa"/>
            <w:tcBorders>
              <w:top w:val="single" w:sz="4" w:space="0" w:color="000001"/>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t>(įgalioto asmens pareigos)</w:t>
            </w:r>
          </w:p>
        </w:tc>
        <w:tc>
          <w:tcPr>
            <w:tcW w:w="1332"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1320" w:type="dxa"/>
            <w:tcBorders>
              <w:top w:val="single" w:sz="4" w:space="0" w:color="000001"/>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t>(parašas)</w:t>
            </w:r>
          </w:p>
        </w:tc>
        <w:tc>
          <w:tcPr>
            <w:tcW w:w="750"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3887" w:type="dxa"/>
            <w:tcBorders>
              <w:top w:val="single" w:sz="4" w:space="0" w:color="000001"/>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t>(vardas, pavardė)</w:t>
            </w:r>
          </w:p>
        </w:tc>
      </w:tr>
    </w:tbl>
    <w:p>
      <w:pPr>
        <w:pStyle w:val="Normal"/>
        <w:spacing w:before="0" w:after="120"/>
        <w:ind w:left="42" w:right="-630" w:hanging="0"/>
        <w:jc w:val="both"/>
        <w:rPr>
          <w:rFonts w:ascii="Times New Roman" w:hAnsi="Times New Roman" w:cs="Times New Roman"/>
          <w:sz w:val="20"/>
          <w:szCs w:val="20"/>
        </w:rPr>
      </w:pPr>
      <w:r>
        <w:rPr>
          <w:rFonts w:cs="Times New Roman" w:ascii="Times New Roman" w:hAnsi="Times New Roman"/>
          <w:i/>
          <w:iCs/>
          <w:sz w:val="20"/>
          <w:szCs w:val="20"/>
        </w:rPr>
        <w:t>Stovyklautojo atstovai(tėvai):</w:t>
      </w:r>
    </w:p>
    <w:tbl>
      <w:tblPr>
        <w:tblW w:w="10024" w:type="dxa"/>
        <w:jc w:val="left"/>
        <w:tblInd w:w="77" w:type="dxa"/>
        <w:tblBorders>
          <w:top w:val="single" w:sz="4" w:space="0" w:color="FFFFFF"/>
          <w:left w:val="single" w:sz="4" w:space="0" w:color="FFFFFF"/>
          <w:bottom w:val="single" w:sz="4" w:space="0" w:color="000001"/>
          <w:insideH w:val="single" w:sz="4" w:space="0" w:color="000001"/>
        </w:tblBorders>
        <w:tblCellMar>
          <w:top w:w="0" w:type="dxa"/>
          <w:left w:w="98" w:type="dxa"/>
          <w:bottom w:w="0" w:type="dxa"/>
          <w:right w:w="108" w:type="dxa"/>
        </w:tblCellMar>
        <w:tblLook w:firstRow="0" w:noVBand="0" w:lastRow="0" w:firstColumn="0" w:lastColumn="0" w:noHBand="0" w:val="0000"/>
      </w:tblPr>
      <w:tblGrid>
        <w:gridCol w:w="2735"/>
        <w:gridCol w:w="1333"/>
        <w:gridCol w:w="1320"/>
        <w:gridCol w:w="750"/>
        <w:gridCol w:w="3886"/>
      </w:tblGrid>
      <w:tr>
        <w:trPr/>
        <w:tc>
          <w:tcPr>
            <w:tcW w:w="2735" w:type="dxa"/>
            <w:tcBorders>
              <w:top w:val="single" w:sz="4" w:space="0" w:color="FFFFFF"/>
              <w:left w:val="single" w:sz="4" w:space="0" w:color="FFFFFF"/>
              <w:bottom w:val="single" w:sz="4" w:space="0" w:color="000001"/>
              <w:insideH w:val="single" w:sz="4" w:space="0" w:color="000001"/>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1333"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1320" w:type="dxa"/>
            <w:tcBorders>
              <w:top w:val="single" w:sz="4" w:space="0" w:color="FFFFFF"/>
              <w:left w:val="single" w:sz="4" w:space="0" w:color="FFFFFF"/>
              <w:bottom w:val="single" w:sz="4" w:space="0" w:color="000001"/>
              <w:insideH w:val="single" w:sz="4" w:space="0" w:color="000001"/>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750"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3886" w:type="dxa"/>
            <w:tcBorders>
              <w:top w:val="single" w:sz="4" w:space="0" w:color="FFFFFF"/>
              <w:left w:val="single" w:sz="4" w:space="0" w:color="FFFFFF"/>
              <w:bottom w:val="single" w:sz="4" w:space="0" w:color="000001"/>
              <w:right w:val="single" w:sz="4" w:space="0" w:color="FFFFFF"/>
              <w:insideH w:val="single" w:sz="4" w:space="0" w:color="000001"/>
              <w:insideV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r>
      <w:tr>
        <w:trPr/>
        <w:tc>
          <w:tcPr>
            <w:tcW w:w="2735" w:type="dxa"/>
            <w:tcBorders>
              <w:top w:val="single" w:sz="4" w:space="0" w:color="000001"/>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t>(tėvai/globėjai)</w:t>
            </w:r>
          </w:p>
        </w:tc>
        <w:tc>
          <w:tcPr>
            <w:tcW w:w="1333"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1320" w:type="dxa"/>
            <w:tcBorders>
              <w:top w:val="single" w:sz="4" w:space="0" w:color="000001"/>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t>(parašas)</w:t>
            </w:r>
          </w:p>
        </w:tc>
        <w:tc>
          <w:tcPr>
            <w:tcW w:w="750" w:type="dxa"/>
            <w:tcBorders>
              <w:top w:val="single" w:sz="4" w:space="0" w:color="FFFFFF"/>
              <w:left w:val="single" w:sz="4" w:space="0" w:color="FFFFFF"/>
              <w:bottom w:val="single" w:sz="4" w:space="0" w:color="FFFFFF"/>
              <w:insideH w:val="single" w:sz="4" w:space="0" w:color="FFFFFF"/>
            </w:tcBorders>
            <w:shd w:color="auto" w:fill="auto" w:val="clear"/>
            <w:tcMar>
              <w:left w:w="98" w:type="dxa"/>
            </w:tcMar>
          </w:tcPr>
          <w:p>
            <w:pPr>
              <w:pStyle w:val="Normal"/>
              <w:snapToGrid w:val="false"/>
              <w:spacing w:before="0" w:after="160"/>
              <w:ind w:left="42" w:right="-630" w:hanging="0"/>
              <w:jc w:val="both"/>
              <w:rPr>
                <w:rFonts w:ascii="Times New Roman" w:hAnsi="Times New Roman" w:cs="Times New Roman"/>
                <w:sz w:val="20"/>
                <w:szCs w:val="20"/>
              </w:rPr>
            </w:pPr>
            <w:r>
              <w:rPr>
                <w:rFonts w:cs="Times New Roman" w:ascii="Times New Roman" w:hAnsi="Times New Roman"/>
                <w:sz w:val="20"/>
                <w:szCs w:val="20"/>
              </w:rPr>
            </w:r>
          </w:p>
        </w:tc>
        <w:tc>
          <w:tcPr>
            <w:tcW w:w="3886" w:type="dxa"/>
            <w:tcBorders>
              <w:top w:val="single" w:sz="4" w:space="0" w:color="000001"/>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98" w:type="dxa"/>
            </w:tcMar>
          </w:tcPr>
          <w:p>
            <w:pPr>
              <w:pStyle w:val="Normal"/>
              <w:snapToGrid w:val="false"/>
              <w:spacing w:before="0" w:after="160"/>
              <w:ind w:left="42" w:right="-630" w:hanging="0"/>
              <w:jc w:val="both"/>
              <w:rPr/>
            </w:pPr>
            <w:r>
              <w:rPr>
                <w:rFonts w:cs="Times New Roman" w:ascii="Times New Roman" w:hAnsi="Times New Roman"/>
                <w:sz w:val="20"/>
                <w:szCs w:val="20"/>
              </w:rPr>
              <w:t>(vardas, pavardė</w:t>
            </w:r>
          </w:p>
        </w:tc>
      </w:tr>
    </w:tbl>
    <w:p>
      <w:pPr>
        <w:pStyle w:val="Normal"/>
        <w:spacing w:before="0" w:after="0"/>
        <w:rPr/>
      </w:pPr>
      <w:r>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lvl w:ilvl="0">
      <w:start w:val="2"/>
      <w:numFmt w:val="decimal"/>
      <w:lvlText w:val="%1."/>
      <w:lvlJc w:val="left"/>
      <w:pPr>
        <w:tabs>
          <w:tab w:val="num" w:pos="360"/>
        </w:tabs>
        <w:ind w:left="360" w:hanging="360"/>
      </w:pPr>
      <w:rPr>
        <w:sz w:val="20"/>
        <w:rFonts w:ascii="Times New Roman" w:hAnsi="Times New Roman"/>
      </w:rPr>
    </w:lvl>
    <w:lvl w:ilvl="1">
      <w:start w:val="2"/>
      <w:numFmt w:val="decimal"/>
      <w:lvlText w:val="%1.%2."/>
      <w:lvlJc w:val="left"/>
      <w:pPr>
        <w:tabs>
          <w:tab w:val="num" w:pos="360"/>
        </w:tabs>
        <w:ind w:left="360" w:hanging="360"/>
      </w:pPr>
      <w:rPr>
        <w:sz w:val="20"/>
        <w:szCs w:val="20"/>
        <w:rFonts w:ascii="Times New Roman" w:hAnsi="Times New Roman"/>
      </w:rPr>
    </w:lvl>
    <w:lvl w:ilvl="2">
      <w:start w:val="1"/>
      <w:numFmt w:val="decimal"/>
      <w:lvlText w:val="%1.%2.%3."/>
      <w:lvlJc w:val="left"/>
      <w:pPr>
        <w:tabs>
          <w:tab w:val="num" w:pos="1200"/>
        </w:tabs>
        <w:ind w:left="1200" w:hanging="720"/>
      </w:pPr>
      <w:rPr>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rPr>
        <w:sz w:val="20"/>
        <w:rFonts w:ascii="Times New Roman" w:hAnsi="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lvl w:ilvl="0">
      <w:start w:val="1"/>
      <w:numFmt w:val="decimal"/>
      <w:lvlText w:val="%1."/>
      <w:lvlJc w:val="left"/>
      <w:pPr>
        <w:tabs>
          <w:tab w:val="num" w:pos="1440"/>
        </w:tabs>
        <w:ind w:left="1440" w:hanging="360"/>
      </w:pPr>
      <w:rPr>
        <w:sz w:val="20"/>
        <w:b/>
        <w:szCs w:val="18"/>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pacing w:lineRule="auto" w:line="259"/>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before="0" w:after="160" w:lineRule="auto" w:line="259"/>
      <w:jc w:val="left"/>
    </w:pPr>
    <w:rPr>
      <w:rFonts w:ascii="Calibri" w:hAnsi="Calibri" w:eastAsia="Calibri" w:cs="" w:asciiTheme="minorHAnsi" w:cstheme="minorBidi" w:eastAsiaTheme="minorHAnsi" w:hAnsiTheme="minorHAnsi"/>
      <w:color w:val="auto"/>
      <w:sz w:val="22"/>
      <w:szCs w:val="22"/>
      <w:lang w:val="lt-LT" w:eastAsia="en-US" w:bidi="ar-SA"/>
    </w:rPr>
  </w:style>
  <w:style w:type="paragraph" w:styleId="Heading1">
    <w:name w:val="Heading 1"/>
    <w:basedOn w:val="Normal"/>
    <w:next w:val="Normal"/>
    <w:link w:val="Heading1Char"/>
    <w:qFormat/>
    <w:rsid w:val="00386c6d"/>
    <w:pPr>
      <w:keepNext/>
      <w:suppressAutoHyphens w:val="true"/>
      <w:spacing w:lineRule="auto" w:line="240" w:before="0" w:after="0"/>
      <w:ind w:left="360" w:hanging="0"/>
      <w:jc w:val="center"/>
      <w:outlineLvl w:val="0"/>
    </w:pPr>
    <w:rPr>
      <w:rFonts w:ascii="Times New Roman" w:hAnsi="Times New Roman" w:eastAsia="Times New Roman" w:cs="Times New Roman"/>
      <w:b/>
      <w:bCs/>
      <w:sz w:val="24"/>
      <w:szCs w:val="24"/>
      <w:lang w:eastAsia="zh-CN"/>
    </w:rPr>
  </w:style>
  <w:style w:type="paragraph" w:styleId="Heading2">
    <w:name w:val="Heading 2"/>
    <w:basedOn w:val="Normal"/>
    <w:next w:val="Normal"/>
    <w:link w:val="Heading2Char"/>
    <w:qFormat/>
    <w:rsid w:val="00386c6d"/>
    <w:pPr>
      <w:keepNext/>
      <w:suppressAutoHyphens w:val="true"/>
      <w:spacing w:lineRule="auto" w:line="240" w:before="0" w:after="0"/>
      <w:jc w:val="center"/>
      <w:outlineLvl w:val="1"/>
    </w:pPr>
    <w:rPr>
      <w:rFonts w:ascii="Times New Roman" w:hAnsi="Times New Roman" w:eastAsia="Times New Roman" w:cs="Times New Roman"/>
      <w:b/>
      <w:bCs/>
      <w:sz w:val="24"/>
      <w:szCs w:val="24"/>
      <w:lang w:eastAsia="zh-CN"/>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386c6d"/>
    <w:rPr>
      <w:rFonts w:ascii="Times New Roman" w:hAnsi="Times New Roman" w:eastAsia="Times New Roman" w:cs="Times New Roman"/>
      <w:b/>
      <w:bCs/>
      <w:sz w:val="24"/>
      <w:szCs w:val="24"/>
      <w:lang w:val="lt-LT" w:eastAsia="zh-CN"/>
    </w:rPr>
  </w:style>
  <w:style w:type="character" w:styleId="Heading2Char" w:customStyle="1">
    <w:name w:val="Heading 2 Char"/>
    <w:basedOn w:val="DefaultParagraphFont"/>
    <w:link w:val="Heading2"/>
    <w:qFormat/>
    <w:rsid w:val="00386c6d"/>
    <w:rPr>
      <w:rFonts w:ascii="Times New Roman" w:hAnsi="Times New Roman" w:eastAsia="Times New Roman" w:cs="Times New Roman"/>
      <w:b/>
      <w:bCs/>
      <w:sz w:val="24"/>
      <w:szCs w:val="24"/>
      <w:lang w:val="lt-LT" w:eastAsia="zh-CN"/>
    </w:rPr>
  </w:style>
  <w:style w:type="character" w:styleId="InternetLink" w:customStyle="1">
    <w:name w:val="Internet Link"/>
    <w:rsid w:val="00386c6d"/>
    <w:rPr>
      <w:color w:val="000080"/>
      <w:u w:val="single"/>
    </w:rPr>
  </w:style>
  <w:style w:type="character" w:styleId="BodyTextChar" w:customStyle="1">
    <w:name w:val="Body Text Char"/>
    <w:basedOn w:val="DefaultParagraphFont"/>
    <w:link w:val="TextBody"/>
    <w:qFormat/>
    <w:rsid w:val="00386c6d"/>
    <w:rPr>
      <w:rFonts w:ascii="Times New Roman" w:hAnsi="Times New Roman" w:eastAsia="Times New Roman" w:cs="Times New Roman"/>
      <w:sz w:val="24"/>
      <w:szCs w:val="24"/>
      <w:lang w:val="lt-LT" w:eastAsia="zh-CN"/>
    </w:rPr>
  </w:style>
  <w:style w:type="character" w:styleId="SubtitleChar" w:customStyle="1">
    <w:name w:val="Subtitle Char"/>
    <w:basedOn w:val="DefaultParagraphFont"/>
    <w:link w:val="Subtitle"/>
    <w:qFormat/>
    <w:rsid w:val="00386c6d"/>
    <w:rPr>
      <w:rFonts w:ascii="Times New Roman" w:hAnsi="Times New Roman" w:eastAsia="Times New Roman" w:cs="Times New Roman"/>
      <w:b/>
      <w:bCs/>
      <w:sz w:val="24"/>
      <w:szCs w:val="24"/>
      <w:lang w:val="lt-LT" w:eastAsia="zh-CN"/>
    </w:rPr>
  </w:style>
  <w:style w:type="character" w:styleId="BodyTextIndentChar" w:customStyle="1">
    <w:name w:val="Body Text Indent Char"/>
    <w:basedOn w:val="DefaultParagraphFont"/>
    <w:link w:val="TextBodyIndent"/>
    <w:qFormat/>
    <w:rsid w:val="00386c6d"/>
    <w:rPr>
      <w:rFonts w:ascii="Times New Roman" w:hAnsi="Times New Roman" w:eastAsia="Times New Roman" w:cs="Times New Roman"/>
      <w:sz w:val="14"/>
      <w:szCs w:val="24"/>
      <w:lang w:val="lt-LT" w:eastAsia="zh-CN"/>
    </w:rPr>
  </w:style>
  <w:style w:type="character" w:styleId="ListLabel1" w:customStyle="1">
    <w:name w:val="ListLabel 1"/>
    <w:qFormat/>
    <w:rPr>
      <w:sz w:val="20"/>
      <w:szCs w:val="20"/>
    </w:rPr>
  </w:style>
  <w:style w:type="character" w:styleId="ListLabel2" w:customStyle="1">
    <w:name w:val="ListLabel 2"/>
    <w:qFormat/>
    <w:rPr>
      <w:rFonts w:ascii="Times New Roman" w:hAnsi="Times New Roman"/>
      <w:sz w:val="20"/>
    </w:rPr>
  </w:style>
  <w:style w:type="character" w:styleId="ListLabel3" w:customStyle="1">
    <w:name w:val="ListLabel 3"/>
    <w:qFormat/>
    <w:rPr>
      <w:rFonts w:ascii="Times New Roman" w:hAnsi="Times New Roman"/>
      <w:sz w:val="20"/>
      <w:szCs w:val="20"/>
    </w:rPr>
  </w:style>
  <w:style w:type="character" w:styleId="ListLabel4" w:customStyle="1">
    <w:name w:val="ListLabel 4"/>
    <w:qFormat/>
    <w:rPr>
      <w:sz w:val="20"/>
      <w:szCs w:val="20"/>
    </w:rPr>
  </w:style>
  <w:style w:type="character" w:styleId="ListLabel5" w:customStyle="1">
    <w:name w:val="ListLabel 5"/>
    <w:qFormat/>
    <w:rPr>
      <w:rFonts w:ascii="Times New Roman" w:hAnsi="Times New Roman"/>
      <w:sz w:val="20"/>
    </w:rPr>
  </w:style>
  <w:style w:type="character" w:styleId="ListLabel6" w:customStyle="1">
    <w:name w:val="ListLabel 6"/>
    <w:qFormat/>
    <w:rPr>
      <w:rFonts w:ascii="Times New Roman" w:hAnsi="Times New Roman"/>
      <w:b/>
      <w:sz w:val="20"/>
      <w:szCs w:val="18"/>
    </w:rPr>
  </w:style>
  <w:style w:type="character" w:styleId="ListLabel7">
    <w:name w:val="ListLabel 7"/>
    <w:qFormat/>
    <w:rPr>
      <w:sz w:val="20"/>
      <w:szCs w:val="20"/>
    </w:rPr>
  </w:style>
  <w:style w:type="character" w:styleId="ListLabel8">
    <w:name w:val="ListLabel 8"/>
    <w:qFormat/>
    <w:rPr>
      <w:rFonts w:ascii="Times New Roman" w:hAnsi="Times New Roman"/>
      <w:sz w:val="20"/>
    </w:rPr>
  </w:style>
  <w:style w:type="character" w:styleId="ListLabel9">
    <w:name w:val="ListLabel 9"/>
    <w:qFormat/>
    <w:rPr>
      <w:rFonts w:ascii="Times New Roman" w:hAnsi="Times New Roman"/>
      <w:sz w:val="20"/>
      <w:szCs w:val="20"/>
    </w:rPr>
  </w:style>
  <w:style w:type="character" w:styleId="ListLabel10">
    <w:name w:val="ListLabel 10"/>
    <w:qFormat/>
    <w:rPr>
      <w:sz w:val="20"/>
      <w:szCs w:val="20"/>
    </w:rPr>
  </w:style>
  <w:style w:type="character" w:styleId="ListLabel11">
    <w:name w:val="ListLabel 11"/>
    <w:qFormat/>
    <w:rPr>
      <w:rFonts w:ascii="Times New Roman" w:hAnsi="Times New Roman"/>
      <w:sz w:val="20"/>
    </w:rPr>
  </w:style>
  <w:style w:type="character" w:styleId="ListLabel12">
    <w:name w:val="ListLabel 12"/>
    <w:qFormat/>
    <w:rPr>
      <w:rFonts w:ascii="Times New Roman" w:hAnsi="Times New Roman"/>
      <w:b/>
      <w:sz w:val="20"/>
      <w:szCs w:val="18"/>
    </w:rPr>
  </w:style>
  <w:style w:type="paragraph" w:styleId="Heading" w:customStyle="1">
    <w:name w:val="Heading"/>
    <w:basedOn w:val="Normal"/>
    <w:next w:val="TextBody"/>
    <w:qFormat/>
    <w:pPr>
      <w:keepNext/>
      <w:spacing w:before="240" w:after="120"/>
    </w:pPr>
    <w:rPr>
      <w:rFonts w:ascii="Liberation Sans" w:hAnsi="Liberation Sans" w:eastAsia="Microsoft YaHei" w:cs="Mangal"/>
      <w:sz w:val="28"/>
      <w:szCs w:val="28"/>
    </w:rPr>
  </w:style>
  <w:style w:type="paragraph" w:styleId="TextBody" w:customStyle="1">
    <w:name w:val="Text Body"/>
    <w:basedOn w:val="Normal"/>
    <w:link w:val="BodyTextChar"/>
    <w:rsid w:val="00386c6d"/>
    <w:pPr>
      <w:suppressAutoHyphens w:val="true"/>
      <w:spacing w:lineRule="auto" w:line="240" w:before="0" w:after="120"/>
    </w:pPr>
    <w:rPr>
      <w:rFonts w:ascii="Times New Roman" w:hAnsi="Times New Roman" w:eastAsia="Times New Roman" w:cs="Times New Roman"/>
      <w:sz w:val="24"/>
      <w:szCs w:val="24"/>
      <w:lang w:eastAsia="zh-CN"/>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pPr>
      <w:suppressLineNumbers/>
    </w:pPr>
    <w:rPr>
      <w:rFonts w:cs="Mangal"/>
    </w:rPr>
  </w:style>
  <w:style w:type="paragraph" w:styleId="Caption1">
    <w:name w:val="caption"/>
    <w:basedOn w:val="Normal"/>
    <w:qFormat/>
    <w:pPr>
      <w:suppressLineNumbers/>
      <w:spacing w:before="120" w:after="120"/>
    </w:pPr>
    <w:rPr>
      <w:rFonts w:cs="Mangal"/>
      <w:i/>
      <w:iCs/>
      <w:sz w:val="24"/>
      <w:szCs w:val="24"/>
    </w:rPr>
  </w:style>
  <w:style w:type="paragraph" w:styleId="Subtitle">
    <w:name w:val="Subtitle"/>
    <w:basedOn w:val="Normal"/>
    <w:link w:val="SubtitleChar"/>
    <w:qFormat/>
    <w:rsid w:val="00386c6d"/>
    <w:pPr>
      <w:suppressAutoHyphens w:val="true"/>
      <w:spacing w:lineRule="auto" w:line="240" w:before="0" w:after="0"/>
      <w:jc w:val="center"/>
    </w:pPr>
    <w:rPr>
      <w:rFonts w:ascii="Times New Roman" w:hAnsi="Times New Roman" w:eastAsia="Times New Roman" w:cs="Times New Roman"/>
      <w:b/>
      <w:bCs/>
      <w:sz w:val="24"/>
      <w:szCs w:val="24"/>
      <w:lang w:eastAsia="zh-CN"/>
    </w:rPr>
  </w:style>
  <w:style w:type="paragraph" w:styleId="TextBodyIndent" w:customStyle="1">
    <w:name w:val="Text Body Indent"/>
    <w:basedOn w:val="Normal"/>
    <w:link w:val="BodyTextIndentChar"/>
    <w:rsid w:val="00386c6d"/>
    <w:pPr>
      <w:suppressAutoHyphens w:val="true"/>
      <w:spacing w:lineRule="auto" w:line="240" w:before="0" w:after="0"/>
      <w:ind w:left="-540" w:hanging="0"/>
    </w:pPr>
    <w:rPr>
      <w:rFonts w:ascii="Times New Roman" w:hAnsi="Times New Roman" w:eastAsia="Times New Roman" w:cs="Times New Roman"/>
      <w:sz w:val="14"/>
      <w:szCs w:val="24"/>
      <w:lang w:eastAsia="zh-CN"/>
    </w:rPr>
  </w:style>
  <w:style w:type="paragraph" w:styleId="ListParagraph">
    <w:name w:val="List Paragraph"/>
    <w:basedOn w:val="Normal"/>
    <w:uiPriority w:val="34"/>
    <w:qFormat/>
    <w:rsid w:val="00386c6d"/>
    <w:pPr>
      <w:spacing w:before="0" w:after="160"/>
      <w:ind w:left="720" w:hanging="0"/>
      <w:contextualSpacing/>
    </w:pPr>
    <w:rPr/>
  </w:style>
  <w:style w:type="numbering" w:styleId="NoList" w:default="1">
    <w:name w:val="No List"/>
    <w:uiPriority w:val="99"/>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okykla@policija.lt"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Application>LibreOffice/5.1.1.3$Windows_x86 LibreOffice_project/89f508ef3ecebd2cfb8e1def0f0ba9a803b88a6d</Application>
  <Pages>4</Pages>
  <Words>1053</Words>
  <Characters>7767</Characters>
  <CharactersWithSpaces>9077</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2016-05-24T13:32:00Z</dcterms:created>
  <dc:creator>Vilija Žukaitytė</dc:creator>
  <dc:description/>
  <dc:language>en-US</dc:language>
  <cp:lastModifiedBy>Vilija Žukaitytė</cp:lastModifiedBy>
  <cp:lastPrinted>2016-06-01T13:49:19Z</cp:lastPrinted>
  <dcterms:modified xsi:type="dcterms:W3CDTF">2016-05-30T08:03:00Z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